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1EA74" w14:textId="77777777" w:rsidR="00CF3FBD" w:rsidRDefault="00776AFB">
      <w:pPr>
        <w:widowControl/>
        <w:spacing w:before="150" w:after="150" w:line="720" w:lineRule="auto"/>
        <w:jc w:val="center"/>
        <w:rPr>
          <w:rFonts w:ascii="宋体" w:hAnsi="宋体" w:cs="宋体"/>
          <w:b/>
          <w:bCs/>
          <w:kern w:val="0"/>
          <w:sz w:val="36"/>
          <w:szCs w:val="36"/>
        </w:rPr>
      </w:pPr>
      <w:r>
        <w:rPr>
          <w:rFonts w:ascii="宋体" w:hAnsi="宋体" w:cs="宋体" w:hint="eastAsia"/>
          <w:b/>
          <w:bCs/>
          <w:kern w:val="0"/>
          <w:sz w:val="36"/>
          <w:szCs w:val="36"/>
        </w:rPr>
        <w:t>数据中心</w:t>
      </w:r>
      <w:r w:rsidR="005974F1">
        <w:rPr>
          <w:rFonts w:ascii="宋体" w:hAnsi="宋体" w:cs="宋体" w:hint="eastAsia"/>
          <w:b/>
          <w:bCs/>
          <w:kern w:val="0"/>
          <w:sz w:val="36"/>
          <w:szCs w:val="36"/>
        </w:rPr>
        <w:t>基础支撑系统</w:t>
      </w:r>
      <w:r>
        <w:rPr>
          <w:rFonts w:ascii="宋体" w:hAnsi="宋体" w:cs="宋体" w:hint="eastAsia"/>
          <w:b/>
          <w:bCs/>
          <w:kern w:val="0"/>
          <w:sz w:val="36"/>
          <w:szCs w:val="36"/>
        </w:rPr>
        <w:t>维</w:t>
      </w:r>
      <w:r w:rsidR="005974F1">
        <w:rPr>
          <w:rFonts w:ascii="宋体" w:hAnsi="宋体" w:cs="宋体" w:hint="eastAsia"/>
          <w:b/>
          <w:bCs/>
          <w:kern w:val="0"/>
          <w:sz w:val="36"/>
          <w:szCs w:val="36"/>
        </w:rPr>
        <w:t>保服务</w:t>
      </w:r>
      <w:r w:rsidR="00952D74">
        <w:rPr>
          <w:rFonts w:ascii="宋体" w:hAnsi="宋体" w:cs="宋体" w:hint="eastAsia"/>
          <w:b/>
          <w:bCs/>
          <w:kern w:val="0"/>
          <w:sz w:val="36"/>
          <w:szCs w:val="36"/>
        </w:rPr>
        <w:t>项目招标需求</w:t>
      </w:r>
    </w:p>
    <w:p w14:paraId="2ABC26AE" w14:textId="77777777" w:rsidR="009910D0" w:rsidRDefault="00776AFB">
      <w:pPr>
        <w:widowControl/>
        <w:tabs>
          <w:tab w:val="left" w:pos="0"/>
        </w:tabs>
        <w:spacing w:before="150" w:after="150" w:line="480" w:lineRule="auto"/>
        <w:ind w:firstLineChars="200" w:firstLine="480"/>
        <w:jc w:val="left"/>
        <w:rPr>
          <w:rFonts w:ascii="宋体" w:hAnsi="宋体" w:cs="宋体"/>
          <w:kern w:val="0"/>
          <w:sz w:val="24"/>
          <w:szCs w:val="24"/>
        </w:rPr>
      </w:pPr>
      <w:r>
        <w:rPr>
          <w:rFonts w:ascii="宋体" w:hAnsi="宋体" w:cs="宋体" w:hint="eastAsia"/>
          <w:kern w:val="0"/>
          <w:sz w:val="24"/>
          <w:szCs w:val="24"/>
        </w:rPr>
        <w:t>我院数据中心基础支撑系统设备</w:t>
      </w:r>
      <w:proofErr w:type="gramStart"/>
      <w:r>
        <w:rPr>
          <w:rFonts w:ascii="宋体" w:hAnsi="宋体" w:cs="宋体" w:hint="eastAsia"/>
          <w:kern w:val="0"/>
          <w:sz w:val="24"/>
          <w:szCs w:val="24"/>
        </w:rPr>
        <w:t>年维护</w:t>
      </w:r>
      <w:proofErr w:type="gramEnd"/>
      <w:r>
        <w:rPr>
          <w:rFonts w:ascii="宋体" w:hAnsi="宋体" w:cs="宋体" w:hint="eastAsia"/>
          <w:kern w:val="0"/>
          <w:sz w:val="24"/>
          <w:szCs w:val="24"/>
        </w:rPr>
        <w:t>项目，要求核心设备（</w:t>
      </w:r>
      <w:proofErr w:type="gramStart"/>
      <w:r>
        <w:rPr>
          <w:rFonts w:ascii="宋体" w:hAnsi="宋体" w:cs="宋体" w:hint="eastAsia"/>
          <w:kern w:val="0"/>
          <w:sz w:val="24"/>
          <w:szCs w:val="24"/>
        </w:rPr>
        <w:t>见设备</w:t>
      </w:r>
      <w:proofErr w:type="gramEnd"/>
      <w:r>
        <w:rPr>
          <w:rFonts w:ascii="宋体" w:hAnsi="宋体" w:cs="宋体" w:hint="eastAsia"/>
          <w:kern w:val="0"/>
          <w:sz w:val="24"/>
          <w:szCs w:val="24"/>
        </w:rPr>
        <w:t>清单）提供续保服务、并对其余设备</w:t>
      </w:r>
      <w:proofErr w:type="gramStart"/>
      <w:r>
        <w:rPr>
          <w:rFonts w:ascii="宋体" w:hAnsi="宋体" w:cs="宋体" w:hint="eastAsia"/>
          <w:kern w:val="0"/>
          <w:sz w:val="24"/>
          <w:szCs w:val="24"/>
        </w:rPr>
        <w:t>提供维保服务</w:t>
      </w:r>
      <w:proofErr w:type="gramEnd"/>
      <w:r>
        <w:rPr>
          <w:rFonts w:ascii="宋体" w:hAnsi="宋体" w:cs="宋体" w:hint="eastAsia"/>
          <w:kern w:val="0"/>
          <w:sz w:val="24"/>
          <w:szCs w:val="24"/>
        </w:rPr>
        <w:t>，提供7*24小时服务，保障我院数据中心连续、稳定、安全、高效运行。</w:t>
      </w:r>
      <w:r w:rsidRPr="00776AFB">
        <w:rPr>
          <w:rFonts w:ascii="宋体" w:hAnsi="宋体" w:cs="宋体" w:hint="eastAsia"/>
          <w:kern w:val="0"/>
          <w:sz w:val="24"/>
          <w:szCs w:val="24"/>
        </w:rPr>
        <w:t>本次招标</w:t>
      </w:r>
      <w:proofErr w:type="gramStart"/>
      <w:r w:rsidRPr="00776AFB">
        <w:rPr>
          <w:rFonts w:ascii="宋体" w:hAnsi="宋体" w:cs="宋体" w:hint="eastAsia"/>
          <w:kern w:val="0"/>
          <w:sz w:val="24"/>
          <w:szCs w:val="24"/>
        </w:rPr>
        <w:t>服务期拟为</w:t>
      </w:r>
      <w:proofErr w:type="gramEnd"/>
      <w:r w:rsidRPr="00776AFB">
        <w:rPr>
          <w:rFonts w:ascii="宋体" w:hAnsi="宋体" w:cs="宋体" w:hint="eastAsia"/>
          <w:kern w:val="0"/>
          <w:sz w:val="24"/>
          <w:szCs w:val="24"/>
        </w:rPr>
        <w:t>三年，采取1+1+1形式续签，即每一年度（合同签订之日起计算）服务为一个评价周期，院方组织相关科室人员（提前30个日历天）对服务单位进行满意度评价，评价结果为合格以上者方可续签下一年度服务合同，否则合同自然终止。</w:t>
      </w:r>
    </w:p>
    <w:p w14:paraId="0F24A014" w14:textId="77777777" w:rsidR="00CF3FBD" w:rsidRPr="00776AFB" w:rsidRDefault="009910D0" w:rsidP="009910D0">
      <w:pPr>
        <w:widowControl/>
        <w:tabs>
          <w:tab w:val="left" w:pos="0"/>
        </w:tabs>
        <w:spacing w:before="150" w:after="150" w:line="480" w:lineRule="auto"/>
        <w:ind w:firstLineChars="200" w:firstLine="480"/>
        <w:jc w:val="left"/>
        <w:rPr>
          <w:rFonts w:ascii="宋体" w:hAnsi="宋体" w:cs="宋体"/>
          <w:kern w:val="0"/>
          <w:sz w:val="24"/>
          <w:szCs w:val="24"/>
        </w:rPr>
      </w:pPr>
      <w:r>
        <w:rPr>
          <w:rFonts w:ascii="宋体" w:hAnsi="宋体" w:cs="宋体" w:hint="eastAsia"/>
          <w:kern w:val="0"/>
          <w:sz w:val="24"/>
          <w:szCs w:val="24"/>
        </w:rPr>
        <w:t>招标控制价：</w:t>
      </w:r>
      <w:proofErr w:type="gramStart"/>
      <w:r>
        <w:rPr>
          <w:rFonts w:ascii="宋体" w:hAnsi="宋体" w:cs="宋体" w:hint="eastAsia"/>
          <w:kern w:val="0"/>
          <w:sz w:val="24"/>
          <w:szCs w:val="24"/>
        </w:rPr>
        <w:t>年</w:t>
      </w:r>
      <w:r w:rsidRPr="00F47F81">
        <w:rPr>
          <w:rFonts w:ascii="宋体" w:hAnsi="宋体" w:cs="宋体" w:hint="eastAsia"/>
          <w:kern w:val="0"/>
          <w:sz w:val="24"/>
          <w:szCs w:val="24"/>
        </w:rPr>
        <w:t>维保服务</w:t>
      </w:r>
      <w:proofErr w:type="gramEnd"/>
      <w:r>
        <w:rPr>
          <w:rFonts w:ascii="宋体" w:hAnsi="宋体" w:cs="宋体" w:hint="eastAsia"/>
          <w:kern w:val="0"/>
          <w:sz w:val="24"/>
          <w:szCs w:val="24"/>
        </w:rPr>
        <w:t>控制价9.8万元。</w:t>
      </w:r>
      <w:r w:rsidR="00776AFB" w:rsidRPr="00776AFB">
        <w:rPr>
          <w:rFonts w:ascii="宋体" w:hAnsi="宋体" w:cs="宋体" w:hint="eastAsia"/>
          <w:kern w:val="0"/>
          <w:sz w:val="24"/>
          <w:szCs w:val="24"/>
        </w:rPr>
        <w:t>以下为维护需求内容：</w:t>
      </w:r>
    </w:p>
    <w:p w14:paraId="0B1DE1F5" w14:textId="77777777" w:rsidR="00CF3FBD" w:rsidRDefault="00776AFB">
      <w:pPr>
        <w:widowControl/>
        <w:tabs>
          <w:tab w:val="left" w:pos="0"/>
        </w:tabs>
        <w:spacing w:before="150" w:after="150" w:line="480" w:lineRule="auto"/>
        <w:jc w:val="left"/>
        <w:rPr>
          <w:rFonts w:ascii="宋体" w:hAnsi="宋体" w:cs="宋体"/>
          <w:b/>
          <w:bCs/>
          <w:color w:val="FF0000"/>
          <w:kern w:val="0"/>
          <w:sz w:val="24"/>
          <w:szCs w:val="24"/>
        </w:rPr>
      </w:pPr>
      <w:r>
        <w:rPr>
          <w:rFonts w:ascii="宋体" w:hAnsi="宋体" w:cs="宋体" w:hint="eastAsia"/>
          <w:b/>
          <w:bCs/>
          <w:kern w:val="0"/>
          <w:sz w:val="24"/>
          <w:szCs w:val="24"/>
        </w:rPr>
        <w:t>一、基础支撑系统数据中心核心设备续保服务：设备清单及续保服务内容及要求</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10"/>
        <w:gridCol w:w="5280"/>
        <w:gridCol w:w="660"/>
        <w:gridCol w:w="1125"/>
        <w:gridCol w:w="693"/>
      </w:tblGrid>
      <w:tr w:rsidR="00CF3FBD" w14:paraId="4D2B4866" w14:textId="77777777" w:rsidTr="00825C74">
        <w:trPr>
          <w:trHeight w:val="659"/>
          <w:jc w:val="center"/>
        </w:trPr>
        <w:tc>
          <w:tcPr>
            <w:tcW w:w="694" w:type="dxa"/>
            <w:shd w:val="clear" w:color="auto" w:fill="auto"/>
            <w:vAlign w:val="center"/>
          </w:tcPr>
          <w:p w14:paraId="14721A72" w14:textId="77777777" w:rsidR="00CF3FBD" w:rsidRDefault="00776AFB">
            <w:pPr>
              <w:widowControl/>
              <w:spacing w:line="360" w:lineRule="auto"/>
              <w:jc w:val="center"/>
              <w:rPr>
                <w:rFonts w:ascii="宋体" w:hAnsi="宋体" w:cs="宋体"/>
                <w:b/>
                <w:bCs/>
                <w:kern w:val="0"/>
              </w:rPr>
            </w:pPr>
            <w:r>
              <w:rPr>
                <w:rFonts w:ascii="宋体" w:hAnsi="宋体" w:cs="宋体" w:hint="eastAsia"/>
                <w:b/>
                <w:bCs/>
                <w:kern w:val="0"/>
              </w:rPr>
              <w:t>序号</w:t>
            </w:r>
          </w:p>
        </w:tc>
        <w:tc>
          <w:tcPr>
            <w:tcW w:w="810" w:type="dxa"/>
            <w:shd w:val="clear" w:color="auto" w:fill="auto"/>
            <w:vAlign w:val="center"/>
          </w:tcPr>
          <w:p w14:paraId="786D41DB" w14:textId="77777777" w:rsidR="00CF3FBD" w:rsidRDefault="00776AFB">
            <w:pPr>
              <w:widowControl/>
              <w:spacing w:line="360" w:lineRule="auto"/>
              <w:jc w:val="center"/>
              <w:rPr>
                <w:rFonts w:ascii="宋体" w:hAnsi="宋体" w:cs="宋体"/>
                <w:b/>
                <w:bCs/>
                <w:kern w:val="0"/>
              </w:rPr>
            </w:pPr>
            <w:r>
              <w:rPr>
                <w:rFonts w:ascii="宋体" w:hAnsi="宋体" w:cs="宋体" w:hint="eastAsia"/>
                <w:b/>
                <w:bCs/>
                <w:kern w:val="0"/>
              </w:rPr>
              <w:t>设备名称</w:t>
            </w:r>
          </w:p>
        </w:tc>
        <w:tc>
          <w:tcPr>
            <w:tcW w:w="5280" w:type="dxa"/>
            <w:shd w:val="clear" w:color="auto" w:fill="auto"/>
            <w:vAlign w:val="center"/>
          </w:tcPr>
          <w:p w14:paraId="1284627A" w14:textId="77777777" w:rsidR="00CF3FBD" w:rsidRDefault="00776AFB">
            <w:pPr>
              <w:widowControl/>
              <w:spacing w:line="360" w:lineRule="auto"/>
              <w:jc w:val="center"/>
              <w:rPr>
                <w:rFonts w:ascii="宋体" w:hAnsi="宋体" w:cs="宋体"/>
                <w:b/>
                <w:bCs/>
                <w:kern w:val="0"/>
              </w:rPr>
            </w:pPr>
            <w:r>
              <w:rPr>
                <w:rFonts w:ascii="宋体" w:hAnsi="宋体" w:cs="宋体" w:hint="eastAsia"/>
                <w:b/>
                <w:bCs/>
                <w:kern w:val="0"/>
              </w:rPr>
              <w:t>续保内容描述</w:t>
            </w:r>
          </w:p>
        </w:tc>
        <w:tc>
          <w:tcPr>
            <w:tcW w:w="660" w:type="dxa"/>
            <w:shd w:val="clear" w:color="auto" w:fill="auto"/>
            <w:vAlign w:val="center"/>
          </w:tcPr>
          <w:p w14:paraId="7BC295CB" w14:textId="77777777" w:rsidR="00CF3FBD" w:rsidRDefault="00776AFB">
            <w:pPr>
              <w:widowControl/>
              <w:spacing w:line="360" w:lineRule="auto"/>
              <w:jc w:val="center"/>
              <w:rPr>
                <w:rFonts w:ascii="宋体" w:hAnsi="宋体" w:cs="宋体"/>
                <w:b/>
                <w:bCs/>
                <w:kern w:val="0"/>
              </w:rPr>
            </w:pPr>
            <w:r>
              <w:rPr>
                <w:rFonts w:ascii="宋体" w:hAnsi="宋体" w:cs="宋体" w:hint="eastAsia"/>
                <w:b/>
                <w:bCs/>
                <w:kern w:val="0"/>
              </w:rPr>
              <w:t>总数</w:t>
            </w:r>
          </w:p>
        </w:tc>
        <w:tc>
          <w:tcPr>
            <w:tcW w:w="1125" w:type="dxa"/>
            <w:shd w:val="clear" w:color="auto" w:fill="auto"/>
            <w:vAlign w:val="center"/>
          </w:tcPr>
          <w:p w14:paraId="72F984C7" w14:textId="77777777" w:rsidR="00CF3FBD" w:rsidRDefault="00776AFB">
            <w:pPr>
              <w:widowControl/>
              <w:spacing w:line="360" w:lineRule="auto"/>
              <w:jc w:val="center"/>
              <w:rPr>
                <w:rFonts w:ascii="宋体" w:hAnsi="宋体" w:cs="宋体"/>
                <w:b/>
                <w:bCs/>
                <w:kern w:val="0"/>
              </w:rPr>
            </w:pPr>
            <w:proofErr w:type="gramStart"/>
            <w:r>
              <w:rPr>
                <w:rFonts w:ascii="宋体" w:hAnsi="宋体" w:cs="宋体" w:hint="eastAsia"/>
                <w:b/>
                <w:bCs/>
                <w:kern w:val="0"/>
              </w:rPr>
              <w:t>维保时间</w:t>
            </w:r>
            <w:proofErr w:type="gramEnd"/>
          </w:p>
        </w:tc>
        <w:tc>
          <w:tcPr>
            <w:tcW w:w="693" w:type="dxa"/>
            <w:shd w:val="clear" w:color="auto" w:fill="auto"/>
            <w:vAlign w:val="center"/>
          </w:tcPr>
          <w:p w14:paraId="6967C632" w14:textId="77777777" w:rsidR="00CF3FBD" w:rsidRDefault="00776AFB">
            <w:pPr>
              <w:widowControl/>
              <w:spacing w:line="360" w:lineRule="auto"/>
              <w:jc w:val="center"/>
              <w:rPr>
                <w:rFonts w:ascii="宋体" w:hAnsi="宋体" w:cs="宋体"/>
                <w:b/>
                <w:bCs/>
                <w:kern w:val="0"/>
              </w:rPr>
            </w:pPr>
            <w:r>
              <w:rPr>
                <w:rFonts w:ascii="宋体" w:hAnsi="宋体" w:cs="宋体" w:hint="eastAsia"/>
                <w:b/>
                <w:bCs/>
                <w:kern w:val="0"/>
              </w:rPr>
              <w:t>备注</w:t>
            </w:r>
          </w:p>
        </w:tc>
      </w:tr>
      <w:tr w:rsidR="00CF3FBD" w14:paraId="4F13681C" w14:textId="77777777">
        <w:trPr>
          <w:trHeight w:val="90"/>
          <w:jc w:val="center"/>
        </w:trPr>
        <w:tc>
          <w:tcPr>
            <w:tcW w:w="694" w:type="dxa"/>
            <w:vMerge w:val="restart"/>
            <w:shd w:val="clear" w:color="000000" w:fill="auto"/>
            <w:vAlign w:val="center"/>
          </w:tcPr>
          <w:p w14:paraId="108561E6" w14:textId="77777777" w:rsidR="00CF3FBD" w:rsidRDefault="00776AFB">
            <w:pPr>
              <w:widowControl/>
              <w:spacing w:line="360" w:lineRule="auto"/>
              <w:jc w:val="center"/>
              <w:rPr>
                <w:rFonts w:ascii="宋体" w:hAnsi="宋体" w:cs="宋体"/>
                <w:kern w:val="0"/>
              </w:rPr>
            </w:pPr>
            <w:r>
              <w:rPr>
                <w:rFonts w:ascii="宋体" w:hAnsi="宋体" w:cs="宋体" w:hint="eastAsia"/>
                <w:b/>
                <w:bCs/>
                <w:kern w:val="0"/>
              </w:rPr>
              <w:t>1</w:t>
            </w:r>
          </w:p>
        </w:tc>
        <w:tc>
          <w:tcPr>
            <w:tcW w:w="8568" w:type="dxa"/>
            <w:gridSpan w:val="5"/>
            <w:shd w:val="clear" w:color="000000" w:fill="D8D8D8" w:themeFill="background1" w:themeFillShade="D8"/>
            <w:vAlign w:val="center"/>
          </w:tcPr>
          <w:p w14:paraId="68097D28" w14:textId="77777777" w:rsidR="00CF3FBD" w:rsidRDefault="00776AFB">
            <w:pPr>
              <w:widowControl/>
              <w:spacing w:line="360" w:lineRule="auto"/>
              <w:jc w:val="left"/>
              <w:rPr>
                <w:rFonts w:ascii="宋体" w:hAnsi="宋体" w:cs="宋体"/>
                <w:kern w:val="0"/>
              </w:rPr>
            </w:pPr>
            <w:proofErr w:type="gramStart"/>
            <w:r>
              <w:rPr>
                <w:rFonts w:ascii="宋体" w:hAnsi="宋体" w:cs="Arial" w:hint="eastAsia"/>
                <w:b/>
                <w:bCs/>
                <w:kern w:val="0"/>
              </w:rPr>
              <w:t>精防项目</w:t>
            </w:r>
            <w:proofErr w:type="gramEnd"/>
            <w:r>
              <w:rPr>
                <w:rFonts w:ascii="宋体" w:hAnsi="宋体" w:cs="Arial" w:hint="eastAsia"/>
                <w:b/>
                <w:bCs/>
                <w:kern w:val="0"/>
              </w:rPr>
              <w:t>核心交换机</w:t>
            </w:r>
            <w:r>
              <w:rPr>
                <w:rFonts w:ascii="Arial" w:eastAsia="等线" w:hAnsi="Arial" w:cs="Arial"/>
                <w:b/>
                <w:bCs/>
                <w:kern w:val="0"/>
              </w:rPr>
              <w:t>S12708</w:t>
            </w:r>
          </w:p>
        </w:tc>
      </w:tr>
      <w:tr w:rsidR="00CF3FBD" w14:paraId="366BCE8A" w14:textId="77777777">
        <w:trPr>
          <w:trHeight w:val="90"/>
          <w:jc w:val="center"/>
        </w:trPr>
        <w:tc>
          <w:tcPr>
            <w:tcW w:w="694" w:type="dxa"/>
            <w:vMerge/>
            <w:shd w:val="clear" w:color="auto" w:fill="auto"/>
            <w:noWrap/>
            <w:vAlign w:val="center"/>
          </w:tcPr>
          <w:p w14:paraId="368DC853" w14:textId="77777777" w:rsidR="00CF3FBD" w:rsidRDefault="00CF3FBD">
            <w:pPr>
              <w:widowControl/>
              <w:spacing w:line="360" w:lineRule="auto"/>
              <w:jc w:val="center"/>
              <w:rPr>
                <w:rFonts w:ascii="宋体" w:hAnsi="宋体" w:cs="宋体"/>
                <w:kern w:val="0"/>
                <w:sz w:val="18"/>
                <w:szCs w:val="18"/>
              </w:rPr>
            </w:pPr>
          </w:p>
        </w:tc>
        <w:tc>
          <w:tcPr>
            <w:tcW w:w="810" w:type="dxa"/>
            <w:vMerge w:val="restart"/>
            <w:shd w:val="clear" w:color="auto" w:fill="auto"/>
            <w:noWrap/>
            <w:vAlign w:val="center"/>
          </w:tcPr>
          <w:p w14:paraId="784ADCEF"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S12708</w:t>
            </w:r>
          </w:p>
        </w:tc>
        <w:tc>
          <w:tcPr>
            <w:tcW w:w="5280" w:type="dxa"/>
            <w:shd w:val="clear" w:color="auto" w:fill="auto"/>
            <w:vAlign w:val="center"/>
          </w:tcPr>
          <w:p w14:paraId="6B0AB349"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S12708基本引擎组合配置_Hi-Care基础服务标准 S12708主机_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148CD81B"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1</w:t>
            </w:r>
          </w:p>
        </w:tc>
        <w:tc>
          <w:tcPr>
            <w:tcW w:w="1125" w:type="dxa"/>
            <w:vMerge w:val="restart"/>
            <w:vAlign w:val="center"/>
          </w:tcPr>
          <w:p w14:paraId="7A4B3C87" w14:textId="77777777" w:rsidR="00CF3FBD" w:rsidRDefault="00CF3FBD">
            <w:pPr>
              <w:widowControl/>
              <w:spacing w:line="360" w:lineRule="auto"/>
              <w:jc w:val="center"/>
              <w:rPr>
                <w:rFonts w:ascii="宋体" w:hAnsi="宋体" w:cs="宋体"/>
                <w:kern w:val="0"/>
                <w:sz w:val="18"/>
                <w:szCs w:val="18"/>
              </w:rPr>
            </w:pPr>
          </w:p>
        </w:tc>
        <w:tc>
          <w:tcPr>
            <w:tcW w:w="693" w:type="dxa"/>
            <w:vMerge w:val="restart"/>
            <w:vAlign w:val="center"/>
          </w:tcPr>
          <w:p w14:paraId="335DF424"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原厂配件</w:t>
            </w:r>
          </w:p>
        </w:tc>
      </w:tr>
      <w:tr w:rsidR="00CF3FBD" w14:paraId="73A894AC" w14:textId="77777777">
        <w:trPr>
          <w:trHeight w:val="90"/>
          <w:jc w:val="center"/>
        </w:trPr>
        <w:tc>
          <w:tcPr>
            <w:tcW w:w="694" w:type="dxa"/>
            <w:vMerge/>
            <w:shd w:val="clear" w:color="auto" w:fill="auto"/>
            <w:noWrap/>
            <w:vAlign w:val="center"/>
          </w:tcPr>
          <w:p w14:paraId="60DF4638" w14:textId="77777777" w:rsidR="00CF3FBD" w:rsidRDefault="00CF3FBD">
            <w:pPr>
              <w:widowControl/>
              <w:spacing w:line="360" w:lineRule="auto"/>
              <w:jc w:val="center"/>
              <w:rPr>
                <w:rFonts w:ascii="宋体" w:hAnsi="宋体" w:cs="宋体"/>
                <w:kern w:val="0"/>
                <w:sz w:val="18"/>
                <w:szCs w:val="18"/>
              </w:rPr>
            </w:pPr>
          </w:p>
        </w:tc>
        <w:tc>
          <w:tcPr>
            <w:tcW w:w="810" w:type="dxa"/>
            <w:vMerge/>
            <w:vAlign w:val="center"/>
          </w:tcPr>
          <w:p w14:paraId="7095B41F"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3A2C0B0A"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24端口百兆/千兆以太网光接口板(EC,SFP)_Hi-Care基础服务标准 Sx700 24端口百兆/千兆以太网光接口板(EC,SFP)_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46B04930"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ign w:val="center"/>
          </w:tcPr>
          <w:p w14:paraId="73F48602"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06C5F730" w14:textId="77777777" w:rsidR="00CF3FBD" w:rsidRDefault="00CF3FBD">
            <w:pPr>
              <w:widowControl/>
              <w:spacing w:line="360" w:lineRule="auto"/>
              <w:jc w:val="center"/>
              <w:rPr>
                <w:rFonts w:ascii="宋体" w:hAnsi="宋体" w:cs="宋体"/>
                <w:kern w:val="0"/>
                <w:sz w:val="18"/>
                <w:szCs w:val="18"/>
              </w:rPr>
            </w:pPr>
          </w:p>
        </w:tc>
      </w:tr>
      <w:tr w:rsidR="00CF3FBD" w14:paraId="53EF2F36" w14:textId="77777777">
        <w:trPr>
          <w:trHeight w:val="638"/>
          <w:jc w:val="center"/>
        </w:trPr>
        <w:tc>
          <w:tcPr>
            <w:tcW w:w="694" w:type="dxa"/>
            <w:vMerge/>
            <w:shd w:val="clear" w:color="auto" w:fill="auto"/>
            <w:noWrap/>
            <w:vAlign w:val="center"/>
          </w:tcPr>
          <w:p w14:paraId="255C7915" w14:textId="77777777" w:rsidR="00CF3FBD" w:rsidRDefault="00CF3FBD">
            <w:pPr>
              <w:widowControl/>
              <w:spacing w:line="360" w:lineRule="auto"/>
              <w:jc w:val="center"/>
              <w:rPr>
                <w:rFonts w:ascii="宋体" w:hAnsi="宋体" w:cs="宋体"/>
                <w:kern w:val="0"/>
                <w:sz w:val="18"/>
                <w:szCs w:val="18"/>
              </w:rPr>
            </w:pPr>
          </w:p>
        </w:tc>
        <w:tc>
          <w:tcPr>
            <w:tcW w:w="810" w:type="dxa"/>
            <w:vMerge/>
            <w:vAlign w:val="center"/>
          </w:tcPr>
          <w:p w14:paraId="679DD200"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2C8E2CC2"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36端口十兆/百兆/千兆以太网电接口和12端口百兆/千兆以太网光接口板(EA,RJ45/SFP)_Hi-Care基础服务标准 Sx700 36端口十兆/百兆/千兆以太网电接口和12端口百兆/千兆以太网光接口板(EA,RJ45/SFP)_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6557D163"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1</w:t>
            </w:r>
          </w:p>
        </w:tc>
        <w:tc>
          <w:tcPr>
            <w:tcW w:w="1125" w:type="dxa"/>
            <w:vMerge/>
            <w:vAlign w:val="center"/>
          </w:tcPr>
          <w:p w14:paraId="7508A4AB"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67A22EED" w14:textId="77777777" w:rsidR="00CF3FBD" w:rsidRDefault="00CF3FBD">
            <w:pPr>
              <w:widowControl/>
              <w:spacing w:line="360" w:lineRule="auto"/>
              <w:jc w:val="center"/>
              <w:rPr>
                <w:rFonts w:ascii="宋体" w:hAnsi="宋体" w:cs="宋体"/>
                <w:kern w:val="0"/>
                <w:sz w:val="18"/>
                <w:szCs w:val="18"/>
              </w:rPr>
            </w:pPr>
          </w:p>
        </w:tc>
      </w:tr>
      <w:tr w:rsidR="00CF3FBD" w14:paraId="20BE2919" w14:textId="77777777">
        <w:trPr>
          <w:trHeight w:val="90"/>
          <w:jc w:val="center"/>
        </w:trPr>
        <w:tc>
          <w:tcPr>
            <w:tcW w:w="694" w:type="dxa"/>
            <w:vMerge w:val="restart"/>
            <w:shd w:val="clear" w:color="auto" w:fill="auto"/>
            <w:noWrap/>
            <w:vAlign w:val="center"/>
          </w:tcPr>
          <w:p w14:paraId="19F300CA" w14:textId="77777777" w:rsidR="00CF3FBD" w:rsidRDefault="00776AFB">
            <w:pPr>
              <w:widowControl/>
              <w:spacing w:line="360" w:lineRule="auto"/>
              <w:jc w:val="center"/>
              <w:rPr>
                <w:rFonts w:ascii="宋体" w:hAnsi="宋体" w:cs="宋体"/>
                <w:kern w:val="0"/>
              </w:rPr>
            </w:pPr>
            <w:r>
              <w:rPr>
                <w:rFonts w:ascii="宋体" w:hAnsi="宋体" w:cs="宋体" w:hint="eastAsia"/>
                <w:b/>
                <w:bCs/>
                <w:kern w:val="0"/>
              </w:rPr>
              <w:t>2</w:t>
            </w:r>
          </w:p>
        </w:tc>
        <w:tc>
          <w:tcPr>
            <w:tcW w:w="8568" w:type="dxa"/>
            <w:gridSpan w:val="5"/>
            <w:shd w:val="clear" w:color="auto" w:fill="D8D8D8" w:themeFill="background1" w:themeFillShade="D8"/>
            <w:noWrap/>
            <w:vAlign w:val="center"/>
          </w:tcPr>
          <w:p w14:paraId="1A71F484" w14:textId="77777777" w:rsidR="00CF3FBD" w:rsidRDefault="00776AFB">
            <w:pPr>
              <w:widowControl/>
              <w:spacing w:line="360" w:lineRule="auto"/>
              <w:jc w:val="left"/>
              <w:rPr>
                <w:rFonts w:ascii="宋体" w:hAnsi="宋体" w:cs="宋体"/>
                <w:kern w:val="0"/>
              </w:rPr>
            </w:pPr>
            <w:proofErr w:type="gramStart"/>
            <w:r>
              <w:rPr>
                <w:rFonts w:ascii="宋体" w:hAnsi="宋体" w:cs="宋体" w:hint="eastAsia"/>
                <w:b/>
                <w:bCs/>
                <w:kern w:val="0"/>
              </w:rPr>
              <w:t>精防项目</w:t>
            </w:r>
            <w:proofErr w:type="gramEnd"/>
            <w:r>
              <w:rPr>
                <w:rFonts w:ascii="宋体" w:hAnsi="宋体" w:cs="宋体" w:hint="eastAsia"/>
                <w:b/>
                <w:bCs/>
                <w:kern w:val="0"/>
              </w:rPr>
              <w:t>存储</w:t>
            </w:r>
            <w:proofErr w:type="spellStart"/>
            <w:r>
              <w:rPr>
                <w:rFonts w:ascii="宋体" w:hAnsi="宋体" w:cs="宋体" w:hint="eastAsia"/>
                <w:b/>
                <w:bCs/>
                <w:kern w:val="0"/>
              </w:rPr>
              <w:t>OceanStor</w:t>
            </w:r>
            <w:proofErr w:type="spellEnd"/>
            <w:r>
              <w:rPr>
                <w:rFonts w:ascii="宋体" w:hAnsi="宋体" w:cs="宋体" w:hint="eastAsia"/>
                <w:b/>
                <w:bCs/>
                <w:kern w:val="0"/>
              </w:rPr>
              <w:t xml:space="preserve"> 5500 V3</w:t>
            </w:r>
          </w:p>
        </w:tc>
      </w:tr>
      <w:tr w:rsidR="00CF3FBD" w14:paraId="5D21D682" w14:textId="77777777">
        <w:trPr>
          <w:trHeight w:val="90"/>
          <w:jc w:val="center"/>
        </w:trPr>
        <w:tc>
          <w:tcPr>
            <w:tcW w:w="694" w:type="dxa"/>
            <w:vMerge/>
            <w:shd w:val="clear" w:color="auto" w:fill="auto"/>
            <w:noWrap/>
            <w:vAlign w:val="center"/>
          </w:tcPr>
          <w:p w14:paraId="3A3B5FF3" w14:textId="77777777" w:rsidR="00CF3FBD" w:rsidRDefault="00CF3FBD">
            <w:pPr>
              <w:widowControl/>
              <w:spacing w:line="360" w:lineRule="auto"/>
              <w:jc w:val="center"/>
              <w:rPr>
                <w:rFonts w:ascii="宋体" w:hAnsi="宋体" w:cs="宋体"/>
                <w:kern w:val="0"/>
              </w:rPr>
            </w:pPr>
          </w:p>
        </w:tc>
        <w:tc>
          <w:tcPr>
            <w:tcW w:w="810" w:type="dxa"/>
            <w:vMerge w:val="restart"/>
            <w:shd w:val="clear" w:color="auto" w:fill="auto"/>
            <w:noWrap/>
            <w:vAlign w:val="center"/>
          </w:tcPr>
          <w:p w14:paraId="12DCCC24" w14:textId="77777777" w:rsidR="00CF3FBD" w:rsidRDefault="00776AFB">
            <w:pPr>
              <w:widowControl/>
              <w:spacing w:line="360" w:lineRule="auto"/>
              <w:jc w:val="center"/>
              <w:rPr>
                <w:rFonts w:ascii="宋体" w:hAnsi="宋体" w:cs="宋体"/>
                <w:kern w:val="0"/>
                <w:sz w:val="18"/>
                <w:szCs w:val="18"/>
              </w:rPr>
            </w:pP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5500 V3</w:t>
            </w:r>
          </w:p>
        </w:tc>
        <w:tc>
          <w:tcPr>
            <w:tcW w:w="5280" w:type="dxa"/>
            <w:shd w:val="clear" w:color="auto" w:fill="auto"/>
            <w:vAlign w:val="center"/>
          </w:tcPr>
          <w:p w14:paraId="3B9032E8" w14:textId="77777777" w:rsidR="00CF3FBD" w:rsidRDefault="00776AFB">
            <w:pPr>
              <w:widowControl/>
              <w:jc w:val="left"/>
              <w:rPr>
                <w:rFonts w:ascii="宋体" w:hAnsi="宋体" w:cs="宋体"/>
                <w:kern w:val="0"/>
                <w:sz w:val="18"/>
                <w:szCs w:val="18"/>
              </w:rPr>
            </w:pPr>
            <w:proofErr w:type="gramStart"/>
            <w:r>
              <w:rPr>
                <w:rFonts w:ascii="宋体" w:hAnsi="宋体" w:cs="宋体" w:hint="eastAsia"/>
                <w:kern w:val="0"/>
                <w:sz w:val="18"/>
                <w:szCs w:val="18"/>
              </w:rPr>
              <w:t>块基础</w:t>
            </w:r>
            <w:proofErr w:type="gramEnd"/>
            <w:r>
              <w:rPr>
                <w:rFonts w:ascii="宋体" w:hAnsi="宋体" w:cs="宋体" w:hint="eastAsia"/>
                <w:kern w:val="0"/>
                <w:sz w:val="18"/>
                <w:szCs w:val="18"/>
              </w:rPr>
              <w:t xml:space="preserve">软件包授权(含Device Management,SmartThin,SmartMulti-tenant,SmartMigration,SmartErase,SmartMotion,Cloud </w:t>
            </w:r>
            <w:proofErr w:type="spellStart"/>
            <w:r>
              <w:rPr>
                <w:rFonts w:ascii="宋体" w:hAnsi="宋体" w:cs="宋体" w:hint="eastAsia"/>
                <w:kern w:val="0"/>
                <w:sz w:val="18"/>
                <w:szCs w:val="18"/>
              </w:rPr>
              <w:t>Service,SystemReporter</w:t>
            </w:r>
            <w:proofErr w:type="spellEnd"/>
            <w:r>
              <w:rPr>
                <w:rFonts w:ascii="宋体" w:hAnsi="宋体" w:cs="宋体" w:hint="eastAsia"/>
                <w:kern w:val="0"/>
                <w:sz w:val="18"/>
                <w:szCs w:val="18"/>
              </w:rPr>
              <w:t xml:space="preserve">)_Hi-Care应用软件升级支持服务 </w:t>
            </w: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5500 V3 </w:t>
            </w:r>
            <w:proofErr w:type="gramStart"/>
            <w:r>
              <w:rPr>
                <w:rFonts w:ascii="宋体" w:hAnsi="宋体" w:cs="宋体" w:hint="eastAsia"/>
                <w:kern w:val="0"/>
                <w:sz w:val="18"/>
                <w:szCs w:val="18"/>
              </w:rPr>
              <w:t>块基础</w:t>
            </w:r>
            <w:proofErr w:type="gramEnd"/>
            <w:r>
              <w:rPr>
                <w:rFonts w:ascii="宋体" w:hAnsi="宋体" w:cs="宋体" w:hint="eastAsia"/>
                <w:kern w:val="0"/>
                <w:sz w:val="18"/>
                <w:szCs w:val="18"/>
              </w:rPr>
              <w:t>软件包授权_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25FDC01B"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1</w:t>
            </w:r>
          </w:p>
        </w:tc>
        <w:tc>
          <w:tcPr>
            <w:tcW w:w="1125" w:type="dxa"/>
            <w:vMerge w:val="restart"/>
            <w:vAlign w:val="center"/>
          </w:tcPr>
          <w:p w14:paraId="12BF8CC6" w14:textId="77777777" w:rsidR="00CF3FBD" w:rsidRDefault="00CF3FBD">
            <w:pPr>
              <w:widowControl/>
              <w:spacing w:line="360" w:lineRule="auto"/>
              <w:jc w:val="center"/>
              <w:rPr>
                <w:rFonts w:ascii="宋体" w:hAnsi="宋体" w:cs="宋体"/>
                <w:kern w:val="0"/>
                <w:sz w:val="18"/>
                <w:szCs w:val="18"/>
              </w:rPr>
            </w:pPr>
          </w:p>
        </w:tc>
        <w:tc>
          <w:tcPr>
            <w:tcW w:w="693" w:type="dxa"/>
            <w:vMerge w:val="restart"/>
            <w:vAlign w:val="center"/>
          </w:tcPr>
          <w:p w14:paraId="59884DE9"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原厂配件</w:t>
            </w:r>
          </w:p>
        </w:tc>
      </w:tr>
      <w:tr w:rsidR="00CF3FBD" w14:paraId="76455022" w14:textId="77777777">
        <w:trPr>
          <w:trHeight w:val="90"/>
          <w:jc w:val="center"/>
        </w:trPr>
        <w:tc>
          <w:tcPr>
            <w:tcW w:w="694" w:type="dxa"/>
            <w:vMerge/>
            <w:shd w:val="clear" w:color="auto" w:fill="auto"/>
            <w:noWrap/>
            <w:vAlign w:val="center"/>
          </w:tcPr>
          <w:p w14:paraId="762F2485" w14:textId="77777777" w:rsidR="00CF3FBD" w:rsidRDefault="00CF3FBD">
            <w:pPr>
              <w:widowControl/>
              <w:spacing w:line="360" w:lineRule="auto"/>
              <w:jc w:val="center"/>
              <w:rPr>
                <w:rFonts w:ascii="宋体" w:hAnsi="宋体" w:cs="宋体"/>
                <w:kern w:val="0"/>
              </w:rPr>
            </w:pPr>
          </w:p>
        </w:tc>
        <w:tc>
          <w:tcPr>
            <w:tcW w:w="810" w:type="dxa"/>
            <w:vMerge/>
            <w:vAlign w:val="center"/>
          </w:tcPr>
          <w:p w14:paraId="099906B8"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4EA372D2" w14:textId="77777777" w:rsidR="00CF3FBD" w:rsidRDefault="00776AFB">
            <w:pPr>
              <w:widowControl/>
              <w:jc w:val="left"/>
              <w:rPr>
                <w:rFonts w:ascii="宋体" w:hAnsi="宋体" w:cs="宋体"/>
                <w:kern w:val="0"/>
                <w:sz w:val="18"/>
                <w:szCs w:val="18"/>
              </w:rPr>
            </w:pP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华为多路径软件许可_Hi-Care应用软件升级支持服务 </w:t>
            </w:r>
            <w:proofErr w:type="spellStart"/>
            <w:r>
              <w:rPr>
                <w:rFonts w:ascii="宋体" w:hAnsi="宋体" w:cs="宋体" w:hint="eastAsia"/>
                <w:kern w:val="0"/>
                <w:sz w:val="18"/>
                <w:szCs w:val="18"/>
              </w:rPr>
              <w:lastRenderedPageBreak/>
              <w:t>OceanStor</w:t>
            </w:r>
            <w:proofErr w:type="spellEnd"/>
            <w:r>
              <w:rPr>
                <w:rFonts w:ascii="宋体" w:hAnsi="宋体" w:cs="宋体" w:hint="eastAsia"/>
                <w:kern w:val="0"/>
                <w:sz w:val="18"/>
                <w:szCs w:val="18"/>
              </w:rPr>
              <w:t xml:space="preserve"> 5500 V3 </w:t>
            </w: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华为多路径软件许可_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6F78C20B"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lastRenderedPageBreak/>
              <w:t>1</w:t>
            </w:r>
          </w:p>
        </w:tc>
        <w:tc>
          <w:tcPr>
            <w:tcW w:w="1125" w:type="dxa"/>
            <w:vMerge/>
            <w:vAlign w:val="center"/>
          </w:tcPr>
          <w:p w14:paraId="06B92572"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07DE4D3A" w14:textId="77777777" w:rsidR="00CF3FBD" w:rsidRDefault="00CF3FBD">
            <w:pPr>
              <w:widowControl/>
              <w:spacing w:line="360" w:lineRule="auto"/>
              <w:jc w:val="center"/>
              <w:rPr>
                <w:rFonts w:ascii="宋体" w:hAnsi="宋体" w:cs="宋体"/>
                <w:kern w:val="0"/>
                <w:sz w:val="18"/>
                <w:szCs w:val="18"/>
              </w:rPr>
            </w:pPr>
          </w:p>
        </w:tc>
      </w:tr>
      <w:tr w:rsidR="00CF3FBD" w14:paraId="73EF678F" w14:textId="77777777">
        <w:trPr>
          <w:trHeight w:val="101"/>
          <w:jc w:val="center"/>
        </w:trPr>
        <w:tc>
          <w:tcPr>
            <w:tcW w:w="694" w:type="dxa"/>
            <w:vMerge/>
            <w:shd w:val="clear" w:color="auto" w:fill="auto"/>
            <w:noWrap/>
            <w:vAlign w:val="center"/>
          </w:tcPr>
          <w:p w14:paraId="5C200CAE" w14:textId="77777777" w:rsidR="00CF3FBD" w:rsidRDefault="00CF3FBD">
            <w:pPr>
              <w:widowControl/>
              <w:spacing w:line="360" w:lineRule="auto"/>
              <w:jc w:val="center"/>
              <w:rPr>
                <w:rFonts w:ascii="宋体" w:hAnsi="宋体" w:cs="宋体"/>
                <w:kern w:val="0"/>
              </w:rPr>
            </w:pPr>
          </w:p>
        </w:tc>
        <w:tc>
          <w:tcPr>
            <w:tcW w:w="810" w:type="dxa"/>
            <w:vMerge/>
            <w:vAlign w:val="center"/>
          </w:tcPr>
          <w:p w14:paraId="54935171"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32A83AE9"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5500 V3(2U,双控,交流,96GB,SmartIO,8*8Gb FC,25*2.5",SPE33C0225)_Hi-Care高级服务标准+ 5500 V3 控制框_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7AE8D4D5"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1</w:t>
            </w:r>
          </w:p>
        </w:tc>
        <w:tc>
          <w:tcPr>
            <w:tcW w:w="1125" w:type="dxa"/>
            <w:vMerge/>
            <w:vAlign w:val="center"/>
          </w:tcPr>
          <w:p w14:paraId="5139E790"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357566A4" w14:textId="77777777" w:rsidR="00CF3FBD" w:rsidRDefault="00CF3FBD">
            <w:pPr>
              <w:widowControl/>
              <w:spacing w:line="360" w:lineRule="auto"/>
              <w:jc w:val="center"/>
              <w:rPr>
                <w:rFonts w:ascii="宋体" w:hAnsi="宋体" w:cs="宋体"/>
                <w:kern w:val="0"/>
                <w:sz w:val="18"/>
                <w:szCs w:val="18"/>
              </w:rPr>
            </w:pPr>
          </w:p>
        </w:tc>
      </w:tr>
      <w:tr w:rsidR="00CF3FBD" w14:paraId="057B16D5" w14:textId="77777777">
        <w:trPr>
          <w:trHeight w:val="90"/>
          <w:jc w:val="center"/>
        </w:trPr>
        <w:tc>
          <w:tcPr>
            <w:tcW w:w="694" w:type="dxa"/>
            <w:vMerge w:val="restart"/>
            <w:shd w:val="clear" w:color="auto" w:fill="auto"/>
            <w:noWrap/>
            <w:vAlign w:val="center"/>
          </w:tcPr>
          <w:p w14:paraId="4264CBD1" w14:textId="77777777" w:rsidR="00CF3FBD" w:rsidRDefault="00776AFB">
            <w:pPr>
              <w:widowControl/>
              <w:spacing w:line="360" w:lineRule="auto"/>
              <w:jc w:val="center"/>
              <w:rPr>
                <w:rFonts w:ascii="宋体" w:hAnsi="宋体" w:cs="宋体"/>
                <w:b/>
                <w:bCs/>
                <w:kern w:val="0"/>
                <w:sz w:val="18"/>
                <w:szCs w:val="18"/>
              </w:rPr>
            </w:pPr>
            <w:r>
              <w:rPr>
                <w:rFonts w:ascii="宋体" w:hAnsi="宋体" w:cs="宋体" w:hint="eastAsia"/>
                <w:b/>
                <w:bCs/>
                <w:kern w:val="0"/>
              </w:rPr>
              <w:t>3</w:t>
            </w:r>
          </w:p>
        </w:tc>
        <w:tc>
          <w:tcPr>
            <w:tcW w:w="8568" w:type="dxa"/>
            <w:gridSpan w:val="5"/>
            <w:shd w:val="clear" w:color="auto" w:fill="D8D8D8" w:themeFill="background1" w:themeFillShade="D8"/>
            <w:noWrap/>
            <w:vAlign w:val="center"/>
          </w:tcPr>
          <w:p w14:paraId="2FEBD5F0" w14:textId="77777777" w:rsidR="00CF3FBD" w:rsidRDefault="00776AFB">
            <w:pPr>
              <w:widowControl/>
              <w:spacing w:line="360" w:lineRule="auto"/>
              <w:jc w:val="left"/>
              <w:rPr>
                <w:rFonts w:ascii="宋体" w:hAnsi="宋体" w:cs="宋体"/>
                <w:kern w:val="0"/>
                <w:sz w:val="18"/>
                <w:szCs w:val="18"/>
              </w:rPr>
            </w:pPr>
            <w:r>
              <w:rPr>
                <w:rFonts w:ascii="宋体" w:hAnsi="宋体" w:cs="宋体" w:hint="eastAsia"/>
                <w:b/>
                <w:bCs/>
                <w:kern w:val="0"/>
              </w:rPr>
              <w:t>智能化项目核心交换机S12708</w:t>
            </w:r>
          </w:p>
        </w:tc>
      </w:tr>
      <w:tr w:rsidR="00CF3FBD" w14:paraId="04C13DE6" w14:textId="77777777">
        <w:trPr>
          <w:trHeight w:val="90"/>
          <w:jc w:val="center"/>
        </w:trPr>
        <w:tc>
          <w:tcPr>
            <w:tcW w:w="694" w:type="dxa"/>
            <w:vMerge/>
            <w:shd w:val="clear" w:color="auto" w:fill="auto"/>
            <w:noWrap/>
            <w:vAlign w:val="center"/>
          </w:tcPr>
          <w:p w14:paraId="5E279729" w14:textId="77777777" w:rsidR="00CF3FBD" w:rsidRDefault="00CF3FBD">
            <w:pPr>
              <w:widowControl/>
              <w:spacing w:line="360" w:lineRule="auto"/>
              <w:jc w:val="center"/>
              <w:rPr>
                <w:rFonts w:ascii="宋体" w:hAnsi="宋体" w:cs="宋体"/>
                <w:kern w:val="0"/>
                <w:sz w:val="18"/>
                <w:szCs w:val="18"/>
              </w:rPr>
            </w:pPr>
          </w:p>
        </w:tc>
        <w:tc>
          <w:tcPr>
            <w:tcW w:w="810" w:type="dxa"/>
            <w:vMerge w:val="restart"/>
            <w:shd w:val="clear" w:color="auto" w:fill="auto"/>
            <w:noWrap/>
            <w:vAlign w:val="center"/>
          </w:tcPr>
          <w:p w14:paraId="2FDED90F"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S12708</w:t>
            </w:r>
          </w:p>
        </w:tc>
        <w:tc>
          <w:tcPr>
            <w:tcW w:w="5280" w:type="dxa"/>
            <w:shd w:val="clear" w:color="auto" w:fill="auto"/>
            <w:vAlign w:val="center"/>
          </w:tcPr>
          <w:p w14:paraId="1339F423"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S12708基本引擎交流组合配置_Hi-Care基础服务标准 S12708主机_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31579478"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restart"/>
            <w:vAlign w:val="center"/>
          </w:tcPr>
          <w:p w14:paraId="07E78A73" w14:textId="77777777" w:rsidR="00CF3FBD" w:rsidRDefault="00CF3FBD" w:rsidP="00DE4881">
            <w:pPr>
              <w:widowControl/>
              <w:spacing w:line="360" w:lineRule="auto"/>
              <w:jc w:val="center"/>
              <w:rPr>
                <w:rFonts w:ascii="宋体" w:hAnsi="宋体" w:cs="宋体"/>
                <w:kern w:val="0"/>
                <w:sz w:val="18"/>
                <w:szCs w:val="18"/>
              </w:rPr>
            </w:pPr>
          </w:p>
        </w:tc>
        <w:tc>
          <w:tcPr>
            <w:tcW w:w="693" w:type="dxa"/>
            <w:vMerge w:val="restart"/>
            <w:vAlign w:val="center"/>
          </w:tcPr>
          <w:p w14:paraId="58B722DC"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原厂配件</w:t>
            </w:r>
          </w:p>
        </w:tc>
      </w:tr>
      <w:tr w:rsidR="00CF3FBD" w14:paraId="6B9B68CA" w14:textId="77777777">
        <w:trPr>
          <w:trHeight w:val="713"/>
          <w:jc w:val="center"/>
        </w:trPr>
        <w:tc>
          <w:tcPr>
            <w:tcW w:w="694" w:type="dxa"/>
            <w:vMerge/>
            <w:shd w:val="clear" w:color="auto" w:fill="auto"/>
            <w:noWrap/>
            <w:vAlign w:val="center"/>
          </w:tcPr>
          <w:p w14:paraId="04704A38" w14:textId="77777777" w:rsidR="00CF3FBD" w:rsidRDefault="00CF3FBD">
            <w:pPr>
              <w:widowControl/>
              <w:spacing w:line="360" w:lineRule="auto"/>
              <w:jc w:val="center"/>
              <w:rPr>
                <w:rFonts w:ascii="宋体" w:hAnsi="宋体" w:cs="宋体"/>
                <w:kern w:val="0"/>
                <w:sz w:val="18"/>
                <w:szCs w:val="18"/>
              </w:rPr>
            </w:pPr>
          </w:p>
        </w:tc>
        <w:tc>
          <w:tcPr>
            <w:tcW w:w="810" w:type="dxa"/>
            <w:vMerge/>
            <w:vAlign w:val="center"/>
          </w:tcPr>
          <w:p w14:paraId="62DBF985"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2C003F7B"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36端口十兆/百兆/千兆以太网电接口和12端口百兆/千兆以太网光接口板(EA,RJ45/SFP)_Hi-Care基础服务标准 Sx700 36端口十兆/百兆/千兆以太网电接口和12端口百兆/千兆以太网光接口板(EA,RJ45/SFP)_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20901532"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ign w:val="center"/>
          </w:tcPr>
          <w:p w14:paraId="5289EBE4"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102B63AC" w14:textId="77777777" w:rsidR="00CF3FBD" w:rsidRDefault="00CF3FBD">
            <w:pPr>
              <w:widowControl/>
              <w:spacing w:line="360" w:lineRule="auto"/>
              <w:jc w:val="center"/>
              <w:rPr>
                <w:rFonts w:ascii="宋体" w:hAnsi="宋体" w:cs="宋体"/>
                <w:kern w:val="0"/>
                <w:sz w:val="18"/>
                <w:szCs w:val="18"/>
              </w:rPr>
            </w:pPr>
          </w:p>
        </w:tc>
      </w:tr>
      <w:tr w:rsidR="00CF3FBD" w14:paraId="5945FDDF" w14:textId="77777777">
        <w:trPr>
          <w:trHeight w:val="90"/>
          <w:jc w:val="center"/>
        </w:trPr>
        <w:tc>
          <w:tcPr>
            <w:tcW w:w="694" w:type="dxa"/>
            <w:vMerge/>
            <w:shd w:val="clear" w:color="auto" w:fill="auto"/>
            <w:noWrap/>
            <w:vAlign w:val="center"/>
          </w:tcPr>
          <w:p w14:paraId="44100D23" w14:textId="77777777" w:rsidR="00CF3FBD" w:rsidRDefault="00CF3FBD">
            <w:pPr>
              <w:widowControl/>
              <w:spacing w:line="360" w:lineRule="auto"/>
              <w:jc w:val="center"/>
              <w:rPr>
                <w:rFonts w:ascii="宋体" w:hAnsi="宋体" w:cs="宋体"/>
                <w:kern w:val="0"/>
                <w:sz w:val="18"/>
                <w:szCs w:val="18"/>
              </w:rPr>
            </w:pPr>
          </w:p>
        </w:tc>
        <w:tc>
          <w:tcPr>
            <w:tcW w:w="810" w:type="dxa"/>
            <w:vMerge/>
            <w:vAlign w:val="center"/>
          </w:tcPr>
          <w:p w14:paraId="36D4C604"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1BBD5A2D"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16端口万兆以太网光接口板(SC,SFP+)_Hi-Care基础服务标准 Sx700 16端口万兆以太网光接口板(SC,SFP+)_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4A393834"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ign w:val="center"/>
          </w:tcPr>
          <w:p w14:paraId="102E0427"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5061F6CD" w14:textId="77777777" w:rsidR="00CF3FBD" w:rsidRDefault="00CF3FBD">
            <w:pPr>
              <w:widowControl/>
              <w:spacing w:line="360" w:lineRule="auto"/>
              <w:jc w:val="center"/>
              <w:rPr>
                <w:rFonts w:ascii="宋体" w:hAnsi="宋体" w:cs="宋体"/>
                <w:kern w:val="0"/>
                <w:sz w:val="18"/>
                <w:szCs w:val="18"/>
              </w:rPr>
            </w:pPr>
          </w:p>
        </w:tc>
      </w:tr>
      <w:tr w:rsidR="00CF3FBD" w14:paraId="5F2E2203" w14:textId="77777777">
        <w:trPr>
          <w:trHeight w:val="90"/>
          <w:jc w:val="center"/>
        </w:trPr>
        <w:tc>
          <w:tcPr>
            <w:tcW w:w="694" w:type="dxa"/>
            <w:vMerge w:val="restart"/>
            <w:shd w:val="clear" w:color="auto" w:fill="auto"/>
            <w:noWrap/>
            <w:vAlign w:val="center"/>
          </w:tcPr>
          <w:p w14:paraId="6D294753" w14:textId="77777777" w:rsidR="00CF3FBD" w:rsidRDefault="00776AFB">
            <w:pPr>
              <w:widowControl/>
              <w:spacing w:line="360" w:lineRule="auto"/>
              <w:jc w:val="center"/>
              <w:rPr>
                <w:rFonts w:ascii="宋体" w:hAnsi="宋体" w:cs="宋体"/>
                <w:b/>
                <w:bCs/>
                <w:kern w:val="0"/>
              </w:rPr>
            </w:pPr>
            <w:r>
              <w:rPr>
                <w:rFonts w:ascii="宋体" w:hAnsi="宋体" w:cs="宋体" w:hint="eastAsia"/>
                <w:b/>
                <w:bCs/>
                <w:kern w:val="0"/>
              </w:rPr>
              <w:t>4</w:t>
            </w:r>
          </w:p>
        </w:tc>
        <w:tc>
          <w:tcPr>
            <w:tcW w:w="8568" w:type="dxa"/>
            <w:gridSpan w:val="5"/>
            <w:shd w:val="clear" w:color="auto" w:fill="D8D8D8" w:themeFill="background1" w:themeFillShade="D8"/>
            <w:noWrap/>
            <w:vAlign w:val="center"/>
          </w:tcPr>
          <w:p w14:paraId="63A229E5" w14:textId="77777777" w:rsidR="00CF3FBD" w:rsidRDefault="00776AFB">
            <w:pPr>
              <w:widowControl/>
              <w:spacing w:line="360" w:lineRule="auto"/>
              <w:jc w:val="left"/>
              <w:rPr>
                <w:rFonts w:ascii="宋体" w:hAnsi="宋体" w:cs="宋体"/>
                <w:kern w:val="0"/>
              </w:rPr>
            </w:pPr>
            <w:r>
              <w:rPr>
                <w:rFonts w:ascii="宋体" w:hAnsi="宋体" w:cs="宋体" w:hint="eastAsia"/>
                <w:b/>
                <w:bCs/>
                <w:kern w:val="0"/>
              </w:rPr>
              <w:t>智能化项目存储</w:t>
            </w:r>
            <w:proofErr w:type="spellStart"/>
            <w:r>
              <w:rPr>
                <w:rFonts w:ascii="宋体" w:hAnsi="宋体" w:cs="宋体" w:hint="eastAsia"/>
                <w:b/>
                <w:bCs/>
                <w:kern w:val="0"/>
              </w:rPr>
              <w:t>OceanStor</w:t>
            </w:r>
            <w:proofErr w:type="spellEnd"/>
            <w:r>
              <w:rPr>
                <w:rFonts w:ascii="宋体" w:hAnsi="宋体" w:cs="宋体" w:hint="eastAsia"/>
                <w:b/>
                <w:bCs/>
                <w:kern w:val="0"/>
              </w:rPr>
              <w:t xml:space="preserve"> 5500 V3</w:t>
            </w:r>
          </w:p>
        </w:tc>
      </w:tr>
      <w:tr w:rsidR="00CF3FBD" w14:paraId="0A5C139C" w14:textId="77777777">
        <w:trPr>
          <w:trHeight w:val="281"/>
          <w:jc w:val="center"/>
        </w:trPr>
        <w:tc>
          <w:tcPr>
            <w:tcW w:w="694" w:type="dxa"/>
            <w:vMerge/>
            <w:shd w:val="clear" w:color="auto" w:fill="auto"/>
            <w:noWrap/>
            <w:vAlign w:val="center"/>
          </w:tcPr>
          <w:p w14:paraId="07DBB58B" w14:textId="77777777" w:rsidR="00CF3FBD" w:rsidRDefault="00CF3FBD">
            <w:pPr>
              <w:widowControl/>
              <w:spacing w:line="360" w:lineRule="auto"/>
              <w:jc w:val="center"/>
              <w:rPr>
                <w:rFonts w:ascii="宋体" w:hAnsi="宋体" w:cs="宋体"/>
                <w:b/>
                <w:bCs/>
                <w:kern w:val="0"/>
              </w:rPr>
            </w:pPr>
          </w:p>
        </w:tc>
        <w:tc>
          <w:tcPr>
            <w:tcW w:w="810" w:type="dxa"/>
            <w:vMerge w:val="restart"/>
            <w:shd w:val="clear" w:color="auto" w:fill="auto"/>
            <w:noWrap/>
            <w:vAlign w:val="center"/>
          </w:tcPr>
          <w:p w14:paraId="12D050EB" w14:textId="77777777" w:rsidR="00CF3FBD" w:rsidRDefault="00776AFB">
            <w:pPr>
              <w:widowControl/>
              <w:spacing w:line="360" w:lineRule="auto"/>
              <w:jc w:val="center"/>
              <w:rPr>
                <w:rFonts w:ascii="宋体" w:hAnsi="宋体" w:cs="宋体"/>
                <w:kern w:val="0"/>
                <w:sz w:val="18"/>
                <w:szCs w:val="18"/>
              </w:rPr>
            </w:pP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5500 V3</w:t>
            </w:r>
          </w:p>
        </w:tc>
        <w:tc>
          <w:tcPr>
            <w:tcW w:w="5280" w:type="dxa"/>
            <w:shd w:val="clear" w:color="auto" w:fill="auto"/>
            <w:vAlign w:val="center"/>
          </w:tcPr>
          <w:p w14:paraId="5CBCFC6B"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5500 V3(2U,双控,交流,96GB,SmartIO,8*8Gb FC,25*2.5",SPE33C0225)_Hi-Care高级服务标准+ 5500 V3 控制框_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592C85C9"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restart"/>
            <w:vAlign w:val="center"/>
          </w:tcPr>
          <w:p w14:paraId="1C1565F6" w14:textId="77777777" w:rsidR="00CF3FBD" w:rsidRDefault="00CF3FBD">
            <w:pPr>
              <w:widowControl/>
              <w:spacing w:line="360" w:lineRule="auto"/>
              <w:jc w:val="center"/>
              <w:rPr>
                <w:rFonts w:ascii="宋体" w:hAnsi="宋体" w:cs="宋体"/>
                <w:kern w:val="0"/>
                <w:sz w:val="18"/>
                <w:szCs w:val="18"/>
              </w:rPr>
            </w:pPr>
          </w:p>
        </w:tc>
        <w:tc>
          <w:tcPr>
            <w:tcW w:w="693" w:type="dxa"/>
            <w:vMerge w:val="restart"/>
            <w:vAlign w:val="center"/>
          </w:tcPr>
          <w:p w14:paraId="7BF53E18"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原厂配件</w:t>
            </w:r>
          </w:p>
        </w:tc>
      </w:tr>
      <w:tr w:rsidR="00CF3FBD" w14:paraId="1CCA8B61" w14:textId="77777777">
        <w:trPr>
          <w:trHeight w:val="395"/>
          <w:jc w:val="center"/>
        </w:trPr>
        <w:tc>
          <w:tcPr>
            <w:tcW w:w="694" w:type="dxa"/>
            <w:vMerge/>
            <w:shd w:val="clear" w:color="auto" w:fill="auto"/>
            <w:noWrap/>
            <w:vAlign w:val="center"/>
          </w:tcPr>
          <w:p w14:paraId="096908F0" w14:textId="77777777" w:rsidR="00CF3FBD" w:rsidRDefault="00CF3FBD">
            <w:pPr>
              <w:widowControl/>
              <w:spacing w:line="360" w:lineRule="auto"/>
              <w:jc w:val="center"/>
              <w:rPr>
                <w:rFonts w:ascii="宋体" w:hAnsi="宋体" w:cs="宋体"/>
                <w:kern w:val="0"/>
              </w:rPr>
            </w:pPr>
          </w:p>
        </w:tc>
        <w:tc>
          <w:tcPr>
            <w:tcW w:w="810" w:type="dxa"/>
            <w:vMerge/>
            <w:vAlign w:val="center"/>
          </w:tcPr>
          <w:p w14:paraId="1D889AAF"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1CA2E798" w14:textId="77777777" w:rsidR="00CF3FBD" w:rsidRDefault="00776AFB">
            <w:pPr>
              <w:widowControl/>
              <w:jc w:val="left"/>
              <w:rPr>
                <w:rFonts w:ascii="宋体" w:hAnsi="宋体" w:cs="宋体"/>
                <w:kern w:val="0"/>
                <w:sz w:val="18"/>
                <w:szCs w:val="18"/>
              </w:rPr>
            </w:pPr>
            <w:proofErr w:type="gramStart"/>
            <w:r>
              <w:rPr>
                <w:rFonts w:ascii="宋体" w:hAnsi="宋体" w:cs="宋体" w:hint="eastAsia"/>
                <w:kern w:val="0"/>
                <w:sz w:val="18"/>
                <w:szCs w:val="18"/>
              </w:rPr>
              <w:t>块基础</w:t>
            </w:r>
            <w:proofErr w:type="gramEnd"/>
            <w:r>
              <w:rPr>
                <w:rFonts w:ascii="宋体" w:hAnsi="宋体" w:cs="宋体" w:hint="eastAsia"/>
                <w:kern w:val="0"/>
                <w:sz w:val="18"/>
                <w:szCs w:val="18"/>
              </w:rPr>
              <w:t xml:space="preserve">软件包授权(含Device Management,SmartThin,SmartMulti-tenant,SmartMigration,SmartErase,SmartMotion,Cloud </w:t>
            </w:r>
            <w:proofErr w:type="spellStart"/>
            <w:r>
              <w:rPr>
                <w:rFonts w:ascii="宋体" w:hAnsi="宋体" w:cs="宋体" w:hint="eastAsia"/>
                <w:kern w:val="0"/>
                <w:sz w:val="18"/>
                <w:szCs w:val="18"/>
              </w:rPr>
              <w:t>Service,SystemReporter</w:t>
            </w:r>
            <w:proofErr w:type="spellEnd"/>
            <w:r>
              <w:rPr>
                <w:rFonts w:ascii="宋体" w:hAnsi="宋体" w:cs="宋体" w:hint="eastAsia"/>
                <w:kern w:val="0"/>
                <w:sz w:val="18"/>
                <w:szCs w:val="18"/>
              </w:rPr>
              <w:t xml:space="preserve">)_Hi-Care应用软件升级支持服务 </w:t>
            </w: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5500 V3 </w:t>
            </w:r>
            <w:proofErr w:type="gramStart"/>
            <w:r>
              <w:rPr>
                <w:rFonts w:ascii="宋体" w:hAnsi="宋体" w:cs="宋体" w:hint="eastAsia"/>
                <w:kern w:val="0"/>
                <w:sz w:val="18"/>
                <w:szCs w:val="18"/>
              </w:rPr>
              <w:t>块基础</w:t>
            </w:r>
            <w:proofErr w:type="gramEnd"/>
            <w:r>
              <w:rPr>
                <w:rFonts w:ascii="宋体" w:hAnsi="宋体" w:cs="宋体" w:hint="eastAsia"/>
                <w:kern w:val="0"/>
                <w:sz w:val="18"/>
                <w:szCs w:val="18"/>
              </w:rPr>
              <w:t>软件包授权_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309B78A7"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ign w:val="center"/>
          </w:tcPr>
          <w:p w14:paraId="57706E9E"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0F5075F9" w14:textId="77777777" w:rsidR="00CF3FBD" w:rsidRDefault="00CF3FBD">
            <w:pPr>
              <w:widowControl/>
              <w:spacing w:line="360" w:lineRule="auto"/>
              <w:jc w:val="center"/>
              <w:rPr>
                <w:rFonts w:ascii="宋体" w:hAnsi="宋体" w:cs="宋体"/>
                <w:kern w:val="0"/>
                <w:sz w:val="18"/>
                <w:szCs w:val="18"/>
              </w:rPr>
            </w:pPr>
          </w:p>
        </w:tc>
      </w:tr>
      <w:tr w:rsidR="00CF3FBD" w14:paraId="199D574B" w14:textId="77777777">
        <w:trPr>
          <w:trHeight w:val="90"/>
          <w:jc w:val="center"/>
        </w:trPr>
        <w:tc>
          <w:tcPr>
            <w:tcW w:w="694" w:type="dxa"/>
            <w:vMerge/>
            <w:shd w:val="clear" w:color="auto" w:fill="auto"/>
            <w:noWrap/>
            <w:vAlign w:val="center"/>
          </w:tcPr>
          <w:p w14:paraId="2151CB60" w14:textId="77777777" w:rsidR="00CF3FBD" w:rsidRDefault="00CF3FBD">
            <w:pPr>
              <w:widowControl/>
              <w:spacing w:line="360" w:lineRule="auto"/>
              <w:jc w:val="center"/>
              <w:rPr>
                <w:rFonts w:ascii="宋体" w:hAnsi="宋体" w:cs="宋体"/>
                <w:kern w:val="0"/>
              </w:rPr>
            </w:pPr>
          </w:p>
        </w:tc>
        <w:tc>
          <w:tcPr>
            <w:tcW w:w="810" w:type="dxa"/>
            <w:vMerge/>
            <w:vAlign w:val="center"/>
          </w:tcPr>
          <w:p w14:paraId="59F3F21F"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7E9C7DB4" w14:textId="77777777" w:rsidR="00CF3FBD" w:rsidRDefault="00776AFB">
            <w:pPr>
              <w:widowControl/>
              <w:jc w:val="left"/>
              <w:rPr>
                <w:rFonts w:ascii="宋体" w:hAnsi="宋体" w:cs="宋体"/>
                <w:kern w:val="0"/>
                <w:sz w:val="18"/>
                <w:szCs w:val="18"/>
              </w:rPr>
            </w:pP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华为多路径软件许可_Hi-Care应用软件升级支持服务 </w:t>
            </w: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5500 V3 </w:t>
            </w: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华为多路径软件许可_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548F588D"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ign w:val="center"/>
          </w:tcPr>
          <w:p w14:paraId="1A45044C"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64C2A0BD" w14:textId="77777777" w:rsidR="00CF3FBD" w:rsidRDefault="00CF3FBD">
            <w:pPr>
              <w:widowControl/>
              <w:spacing w:line="360" w:lineRule="auto"/>
              <w:jc w:val="center"/>
              <w:rPr>
                <w:rFonts w:ascii="宋体" w:hAnsi="宋体" w:cs="宋体"/>
                <w:kern w:val="0"/>
                <w:sz w:val="18"/>
                <w:szCs w:val="18"/>
              </w:rPr>
            </w:pPr>
          </w:p>
        </w:tc>
      </w:tr>
      <w:tr w:rsidR="00CF3FBD" w14:paraId="774438D4" w14:textId="77777777">
        <w:trPr>
          <w:trHeight w:val="90"/>
          <w:jc w:val="center"/>
        </w:trPr>
        <w:tc>
          <w:tcPr>
            <w:tcW w:w="694" w:type="dxa"/>
            <w:vMerge/>
            <w:shd w:val="clear" w:color="auto" w:fill="auto"/>
            <w:noWrap/>
            <w:vAlign w:val="center"/>
          </w:tcPr>
          <w:p w14:paraId="442A898D" w14:textId="77777777" w:rsidR="00CF3FBD" w:rsidRDefault="00CF3FBD">
            <w:pPr>
              <w:widowControl/>
              <w:spacing w:line="360" w:lineRule="auto"/>
              <w:jc w:val="center"/>
              <w:rPr>
                <w:rFonts w:ascii="宋体" w:hAnsi="宋体" w:cs="宋体"/>
                <w:kern w:val="0"/>
              </w:rPr>
            </w:pPr>
          </w:p>
        </w:tc>
        <w:tc>
          <w:tcPr>
            <w:tcW w:w="810" w:type="dxa"/>
            <w:vMerge/>
            <w:vAlign w:val="center"/>
          </w:tcPr>
          <w:p w14:paraId="2EEBADA1" w14:textId="77777777" w:rsidR="00CF3FBD" w:rsidRDefault="00CF3FBD">
            <w:pPr>
              <w:widowControl/>
              <w:spacing w:line="360" w:lineRule="auto"/>
              <w:jc w:val="center"/>
              <w:rPr>
                <w:rFonts w:ascii="宋体" w:hAnsi="宋体" w:cs="宋体"/>
                <w:kern w:val="0"/>
                <w:sz w:val="18"/>
                <w:szCs w:val="18"/>
              </w:rPr>
            </w:pPr>
          </w:p>
        </w:tc>
        <w:tc>
          <w:tcPr>
            <w:tcW w:w="5280" w:type="dxa"/>
            <w:shd w:val="clear" w:color="auto" w:fill="auto"/>
            <w:vAlign w:val="center"/>
          </w:tcPr>
          <w:p w14:paraId="2270D74D"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双</w:t>
            </w:r>
            <w:proofErr w:type="gramStart"/>
            <w:r>
              <w:rPr>
                <w:rFonts w:ascii="宋体" w:hAnsi="宋体" w:cs="宋体" w:hint="eastAsia"/>
                <w:kern w:val="0"/>
                <w:sz w:val="18"/>
                <w:szCs w:val="18"/>
              </w:rPr>
              <w:t>活方案</w:t>
            </w:r>
            <w:proofErr w:type="gramEnd"/>
            <w:r>
              <w:rPr>
                <w:rFonts w:ascii="宋体" w:hAnsi="宋体" w:cs="宋体" w:hint="eastAsia"/>
                <w:kern w:val="0"/>
                <w:sz w:val="18"/>
                <w:szCs w:val="18"/>
              </w:rPr>
              <w:t>套件使用许可(含</w:t>
            </w:r>
            <w:proofErr w:type="spellStart"/>
            <w:r>
              <w:rPr>
                <w:rFonts w:ascii="宋体" w:hAnsi="宋体" w:cs="宋体" w:hint="eastAsia"/>
                <w:kern w:val="0"/>
                <w:sz w:val="18"/>
                <w:szCs w:val="18"/>
              </w:rPr>
              <w:t>HyperMetro,HyperSnap</w:t>
            </w:r>
            <w:proofErr w:type="spellEnd"/>
            <w:r>
              <w:rPr>
                <w:rFonts w:ascii="宋体" w:hAnsi="宋体" w:cs="宋体" w:hint="eastAsia"/>
                <w:kern w:val="0"/>
                <w:sz w:val="18"/>
                <w:szCs w:val="18"/>
              </w:rPr>
              <w:t xml:space="preserve"> )_Hi-Care应用软件升级支持服务 </w:t>
            </w:r>
            <w:proofErr w:type="spellStart"/>
            <w:r>
              <w:rPr>
                <w:rFonts w:ascii="宋体" w:hAnsi="宋体" w:cs="宋体" w:hint="eastAsia"/>
                <w:kern w:val="0"/>
                <w:sz w:val="18"/>
                <w:szCs w:val="18"/>
              </w:rPr>
              <w:t>OceanStor</w:t>
            </w:r>
            <w:proofErr w:type="spellEnd"/>
            <w:r>
              <w:rPr>
                <w:rFonts w:ascii="宋体" w:hAnsi="宋体" w:cs="宋体" w:hint="eastAsia"/>
                <w:kern w:val="0"/>
                <w:sz w:val="18"/>
                <w:szCs w:val="18"/>
              </w:rPr>
              <w:t xml:space="preserve"> 5500 V3 双</w:t>
            </w:r>
            <w:proofErr w:type="gramStart"/>
            <w:r>
              <w:rPr>
                <w:rFonts w:ascii="宋体" w:hAnsi="宋体" w:cs="宋体" w:hint="eastAsia"/>
                <w:kern w:val="0"/>
                <w:sz w:val="18"/>
                <w:szCs w:val="18"/>
              </w:rPr>
              <w:t>活方案</w:t>
            </w:r>
            <w:proofErr w:type="gramEnd"/>
            <w:r>
              <w:rPr>
                <w:rFonts w:ascii="宋体" w:hAnsi="宋体" w:cs="宋体" w:hint="eastAsia"/>
                <w:kern w:val="0"/>
                <w:sz w:val="18"/>
                <w:szCs w:val="18"/>
              </w:rPr>
              <w:t>套件使用许可_</w:t>
            </w:r>
            <w:proofErr w:type="gramStart"/>
            <w:r>
              <w:rPr>
                <w:rFonts w:ascii="宋体" w:hAnsi="宋体" w:cs="宋体" w:hint="eastAsia"/>
                <w:kern w:val="0"/>
                <w:sz w:val="18"/>
                <w:szCs w:val="18"/>
              </w:rPr>
              <w:t>36</w:t>
            </w:r>
            <w:proofErr w:type="gramEnd"/>
            <w:r>
              <w:rPr>
                <w:rFonts w:ascii="宋体" w:hAnsi="宋体" w:cs="宋体" w:hint="eastAsia"/>
                <w:kern w:val="0"/>
                <w:sz w:val="18"/>
                <w:szCs w:val="18"/>
              </w:rPr>
              <w:t>月_续保</w:t>
            </w:r>
          </w:p>
        </w:tc>
        <w:tc>
          <w:tcPr>
            <w:tcW w:w="660" w:type="dxa"/>
            <w:shd w:val="clear" w:color="auto" w:fill="auto"/>
            <w:noWrap/>
            <w:vAlign w:val="center"/>
          </w:tcPr>
          <w:p w14:paraId="5E006855"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vMerge/>
            <w:vAlign w:val="center"/>
          </w:tcPr>
          <w:p w14:paraId="50AF6A08" w14:textId="77777777" w:rsidR="00CF3FBD" w:rsidRDefault="00CF3FBD">
            <w:pPr>
              <w:widowControl/>
              <w:spacing w:line="360" w:lineRule="auto"/>
              <w:jc w:val="center"/>
              <w:rPr>
                <w:rFonts w:ascii="宋体" w:hAnsi="宋体" w:cs="宋体"/>
                <w:kern w:val="0"/>
                <w:sz w:val="18"/>
                <w:szCs w:val="18"/>
              </w:rPr>
            </w:pPr>
          </w:p>
        </w:tc>
        <w:tc>
          <w:tcPr>
            <w:tcW w:w="693" w:type="dxa"/>
            <w:vMerge/>
            <w:vAlign w:val="center"/>
          </w:tcPr>
          <w:p w14:paraId="748396FC" w14:textId="77777777" w:rsidR="00CF3FBD" w:rsidRDefault="00CF3FBD">
            <w:pPr>
              <w:widowControl/>
              <w:spacing w:line="360" w:lineRule="auto"/>
              <w:jc w:val="center"/>
              <w:rPr>
                <w:rFonts w:ascii="宋体" w:hAnsi="宋体" w:cs="宋体"/>
                <w:kern w:val="0"/>
                <w:sz w:val="18"/>
                <w:szCs w:val="18"/>
              </w:rPr>
            </w:pPr>
          </w:p>
        </w:tc>
      </w:tr>
      <w:tr w:rsidR="00CF3FBD" w14:paraId="36F0B337" w14:textId="77777777">
        <w:trPr>
          <w:trHeight w:val="357"/>
          <w:jc w:val="center"/>
        </w:trPr>
        <w:tc>
          <w:tcPr>
            <w:tcW w:w="694" w:type="dxa"/>
            <w:shd w:val="clear" w:color="auto" w:fill="auto"/>
            <w:noWrap/>
            <w:vAlign w:val="center"/>
          </w:tcPr>
          <w:p w14:paraId="0F4523D1" w14:textId="77777777" w:rsidR="00CF3FBD" w:rsidRDefault="00776AFB">
            <w:pPr>
              <w:widowControl/>
              <w:spacing w:line="360" w:lineRule="auto"/>
              <w:jc w:val="center"/>
              <w:rPr>
                <w:rFonts w:ascii="宋体" w:hAnsi="宋体" w:cs="宋体"/>
                <w:kern w:val="0"/>
              </w:rPr>
            </w:pPr>
            <w:r>
              <w:rPr>
                <w:rFonts w:ascii="宋体" w:hAnsi="宋体" w:cs="宋体" w:hint="eastAsia"/>
                <w:b/>
                <w:bCs/>
                <w:kern w:val="0"/>
              </w:rPr>
              <w:t>5</w:t>
            </w:r>
          </w:p>
        </w:tc>
        <w:tc>
          <w:tcPr>
            <w:tcW w:w="810" w:type="dxa"/>
            <w:shd w:val="clear" w:color="auto" w:fill="auto"/>
            <w:vAlign w:val="center"/>
          </w:tcPr>
          <w:p w14:paraId="6A7BB3B5"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LIC-IPSAVURL-36-USG6500</w:t>
            </w:r>
          </w:p>
        </w:tc>
        <w:tc>
          <w:tcPr>
            <w:tcW w:w="5280" w:type="dxa"/>
            <w:shd w:val="clear" w:color="auto" w:fill="auto"/>
            <w:vAlign w:val="center"/>
          </w:tcPr>
          <w:p w14:paraId="26AA1C18" w14:textId="77777777" w:rsidR="00CF3FBD" w:rsidRDefault="00776AFB">
            <w:pPr>
              <w:widowControl/>
              <w:jc w:val="left"/>
              <w:rPr>
                <w:rFonts w:ascii="宋体" w:hAnsi="宋体" w:cs="宋体"/>
                <w:kern w:val="0"/>
                <w:sz w:val="18"/>
                <w:szCs w:val="18"/>
              </w:rPr>
            </w:pPr>
            <w:r>
              <w:rPr>
                <w:rFonts w:ascii="宋体" w:hAnsi="宋体" w:cs="宋体" w:hint="eastAsia"/>
                <w:kern w:val="0"/>
                <w:sz w:val="18"/>
                <w:szCs w:val="18"/>
              </w:rPr>
              <w:t>IPS-AV-URL功能集36个月；防火软件授权模块，包含入侵防御、防病毒、URL过滤功能；</w:t>
            </w:r>
          </w:p>
        </w:tc>
        <w:tc>
          <w:tcPr>
            <w:tcW w:w="660" w:type="dxa"/>
            <w:shd w:val="clear" w:color="auto" w:fill="auto"/>
            <w:noWrap/>
            <w:vAlign w:val="center"/>
          </w:tcPr>
          <w:p w14:paraId="6704896D" w14:textId="77777777" w:rsidR="00CF3FBD" w:rsidRDefault="00776AF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125" w:type="dxa"/>
            <w:shd w:val="clear" w:color="auto" w:fill="auto"/>
            <w:noWrap/>
            <w:vAlign w:val="center"/>
          </w:tcPr>
          <w:p w14:paraId="34190A18" w14:textId="77777777" w:rsidR="00CF3FBD" w:rsidRDefault="00CF3FBD">
            <w:pPr>
              <w:widowControl/>
              <w:spacing w:line="360" w:lineRule="auto"/>
              <w:jc w:val="center"/>
              <w:rPr>
                <w:rFonts w:ascii="宋体" w:hAnsi="宋体" w:cs="宋体"/>
                <w:color w:val="000000"/>
                <w:kern w:val="0"/>
                <w:sz w:val="18"/>
                <w:szCs w:val="18"/>
              </w:rPr>
            </w:pPr>
          </w:p>
        </w:tc>
        <w:tc>
          <w:tcPr>
            <w:tcW w:w="693" w:type="dxa"/>
            <w:shd w:val="clear" w:color="auto" w:fill="auto"/>
            <w:noWrap/>
            <w:vAlign w:val="center"/>
          </w:tcPr>
          <w:p w14:paraId="3FA4F8FC" w14:textId="77777777" w:rsidR="00CF3FBD" w:rsidRDefault="00776AFB">
            <w:pPr>
              <w:widowControl/>
              <w:spacing w:line="360" w:lineRule="auto"/>
              <w:jc w:val="center"/>
              <w:rPr>
                <w:rFonts w:ascii="宋体" w:hAnsi="宋体" w:cs="宋体"/>
                <w:color w:val="000000"/>
                <w:kern w:val="0"/>
                <w:sz w:val="18"/>
                <w:szCs w:val="18"/>
              </w:rPr>
            </w:pPr>
            <w:r>
              <w:rPr>
                <w:rFonts w:ascii="宋体" w:hAnsi="宋体" w:cs="宋体" w:hint="eastAsia"/>
                <w:kern w:val="0"/>
                <w:sz w:val="18"/>
                <w:szCs w:val="18"/>
              </w:rPr>
              <w:t>原厂配件</w:t>
            </w:r>
          </w:p>
        </w:tc>
      </w:tr>
    </w:tbl>
    <w:p w14:paraId="4B180C63" w14:textId="77777777" w:rsidR="00CF3FBD" w:rsidRDefault="00776AFB">
      <w:pPr>
        <w:widowControl/>
        <w:spacing w:before="150" w:after="150" w:line="480" w:lineRule="auto"/>
        <w:jc w:val="left"/>
        <w:rPr>
          <w:rFonts w:ascii="宋体" w:hAnsi="宋体" w:cs="宋体"/>
          <w:b/>
          <w:bCs/>
          <w:kern w:val="0"/>
          <w:sz w:val="24"/>
          <w:szCs w:val="24"/>
        </w:rPr>
      </w:pPr>
      <w:r>
        <w:rPr>
          <w:rFonts w:ascii="宋体" w:hAnsi="宋体" w:cs="宋体" w:hint="eastAsia"/>
          <w:b/>
          <w:bCs/>
          <w:kern w:val="0"/>
          <w:sz w:val="24"/>
          <w:szCs w:val="24"/>
        </w:rPr>
        <w:t>二、基础支撑系统网络设备、网络运维及安全设备服务要求</w:t>
      </w:r>
    </w:p>
    <w:p w14:paraId="74A00FC6" w14:textId="77777777" w:rsidR="00CF3FBD" w:rsidRDefault="00776AFB">
      <w:pPr>
        <w:widowControl/>
        <w:spacing w:before="150" w:after="150" w:line="480" w:lineRule="auto"/>
        <w:ind w:firstLineChars="228" w:firstLine="547"/>
        <w:jc w:val="left"/>
        <w:rPr>
          <w:rFonts w:ascii="宋体" w:hAnsi="宋体" w:cs="宋体"/>
          <w:kern w:val="0"/>
          <w:sz w:val="24"/>
          <w:szCs w:val="24"/>
        </w:rPr>
      </w:pPr>
      <w:r>
        <w:rPr>
          <w:rFonts w:ascii="宋体" w:hAnsi="宋体" w:cs="宋体" w:hint="eastAsia"/>
          <w:kern w:val="0"/>
          <w:sz w:val="24"/>
          <w:szCs w:val="24"/>
        </w:rPr>
        <w:t>１、硬件保修服务</w:t>
      </w:r>
    </w:p>
    <w:p w14:paraId="3B8A08A7" w14:textId="77777777" w:rsidR="00CF3FBD" w:rsidRDefault="00776AFB">
      <w:pPr>
        <w:spacing w:line="480" w:lineRule="auto"/>
        <w:ind w:leftChars="266" w:left="559" w:firstLineChars="225" w:firstLine="540"/>
        <w:rPr>
          <w:rFonts w:ascii="宋体" w:hAnsi="宋体" w:cs="宋体"/>
          <w:kern w:val="0"/>
          <w:sz w:val="24"/>
          <w:szCs w:val="24"/>
        </w:rPr>
      </w:pPr>
      <w:proofErr w:type="gramStart"/>
      <w:r>
        <w:rPr>
          <w:rFonts w:ascii="宋体" w:hAnsi="宋体" w:cs="宋体" w:hint="eastAsia"/>
          <w:kern w:val="0"/>
          <w:sz w:val="24"/>
          <w:szCs w:val="24"/>
        </w:rPr>
        <w:t>本服务</w:t>
      </w:r>
      <w:proofErr w:type="gramEnd"/>
      <w:r>
        <w:rPr>
          <w:rFonts w:ascii="宋体" w:hAnsi="宋体" w:cs="宋体" w:hint="eastAsia"/>
          <w:kern w:val="0"/>
          <w:sz w:val="24"/>
          <w:szCs w:val="24"/>
        </w:rPr>
        <w:t>是对续保客户提供的一种保障性增值服务,即</w:t>
      </w:r>
      <w:proofErr w:type="gramStart"/>
      <w:r>
        <w:rPr>
          <w:rFonts w:ascii="宋体" w:hAnsi="宋体" w:cs="宋体" w:hint="eastAsia"/>
          <w:kern w:val="0"/>
          <w:sz w:val="24"/>
          <w:szCs w:val="24"/>
        </w:rPr>
        <w:t>对维保服务</w:t>
      </w:r>
      <w:proofErr w:type="gramEnd"/>
      <w:r>
        <w:rPr>
          <w:rFonts w:ascii="宋体" w:hAnsi="宋体" w:cs="宋体" w:hint="eastAsia"/>
          <w:kern w:val="0"/>
          <w:sz w:val="24"/>
          <w:szCs w:val="24"/>
        </w:rPr>
        <w:t>期内的产品硬件在产品正常使用过程中可能发生的故障(人为不当操作、设备运</w:t>
      </w:r>
      <w:r>
        <w:rPr>
          <w:rFonts w:ascii="宋体" w:hAnsi="宋体" w:cs="宋体" w:hint="eastAsia"/>
          <w:kern w:val="0"/>
          <w:sz w:val="24"/>
          <w:szCs w:val="24"/>
        </w:rPr>
        <w:lastRenderedPageBreak/>
        <w:t>行环境、不可抗力因素等造成的产品毁损情形除外)提供维护维修服务。硬件保修服务作为设备最基本、最重要的服务之一，为产品的长期稳定运行增加了一个重要的安全筹码，有利于延长了产品的生命周期，有利于更好的保障客户网络安全。</w:t>
      </w:r>
    </w:p>
    <w:p w14:paraId="397AD3E6" w14:textId="77777777" w:rsidR="00CF3FBD" w:rsidRDefault="00776AFB">
      <w:pPr>
        <w:spacing w:line="480" w:lineRule="auto"/>
        <w:ind w:leftChars="266" w:left="559" w:firstLineChars="225" w:firstLine="540"/>
        <w:rPr>
          <w:rFonts w:ascii="宋体" w:hAnsi="宋体" w:cs="宋体"/>
          <w:kern w:val="0"/>
          <w:sz w:val="24"/>
          <w:szCs w:val="24"/>
        </w:rPr>
      </w:pPr>
      <w:proofErr w:type="gramStart"/>
      <w:r>
        <w:rPr>
          <w:rFonts w:ascii="宋体" w:hAnsi="宋体" w:cs="宋体" w:hint="eastAsia"/>
          <w:kern w:val="0"/>
          <w:sz w:val="24"/>
          <w:szCs w:val="24"/>
        </w:rPr>
        <w:t>维保服务</w:t>
      </w:r>
      <w:proofErr w:type="gramEnd"/>
      <w:r>
        <w:rPr>
          <w:rFonts w:ascii="宋体" w:hAnsi="宋体" w:cs="宋体" w:hint="eastAsia"/>
          <w:kern w:val="0"/>
          <w:sz w:val="24"/>
          <w:szCs w:val="24"/>
        </w:rPr>
        <w:t>期内，正常使用下发生故障由中标公司负责保修。服务器、存储、交换机、防火墙、入侵防御、无线控制器、无线AP损坏的部件或配件为厂商的正规产品。</w:t>
      </w:r>
      <w:bookmarkStart w:id="0" w:name="_Toc3558"/>
      <w:bookmarkStart w:id="1" w:name="_Toc268009704"/>
    </w:p>
    <w:p w14:paraId="381FE13E"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2、远程技术支持服务</w:t>
      </w:r>
      <w:bookmarkEnd w:id="0"/>
      <w:bookmarkEnd w:id="1"/>
    </w:p>
    <w:p w14:paraId="3A10D453" w14:textId="77777777" w:rsidR="00CF3FBD" w:rsidRDefault="00776AFB">
      <w:pPr>
        <w:spacing w:line="480" w:lineRule="auto"/>
        <w:ind w:leftChars="266" w:left="559" w:firstLineChars="225" w:firstLine="540"/>
        <w:rPr>
          <w:rFonts w:ascii="宋体" w:hAnsi="宋体" w:cs="宋体"/>
          <w:kern w:val="0"/>
          <w:sz w:val="24"/>
          <w:szCs w:val="24"/>
        </w:rPr>
      </w:pPr>
      <w:r>
        <w:rPr>
          <w:rFonts w:ascii="宋体" w:hAnsi="宋体" w:cs="宋体" w:hint="eastAsia"/>
          <w:kern w:val="0"/>
          <w:sz w:val="24"/>
          <w:szCs w:val="24"/>
        </w:rPr>
        <w:t>远程技术支持服务是指中标单位技术工程师通过电话、网络等方式为最终用户提供排除故障、更改配置、调整网络结构等技术支持服务。最终用户提出技术服务请求，中标单位技术工程师通过电话、网络等</w:t>
      </w:r>
      <w:proofErr w:type="gramStart"/>
      <w:r>
        <w:rPr>
          <w:rFonts w:ascii="宋体" w:hAnsi="宋体" w:cs="宋体" w:hint="eastAsia"/>
          <w:kern w:val="0"/>
          <w:sz w:val="24"/>
          <w:szCs w:val="24"/>
        </w:rPr>
        <w:t>远程支持</w:t>
      </w:r>
      <w:proofErr w:type="gramEnd"/>
      <w:r>
        <w:rPr>
          <w:rFonts w:ascii="宋体" w:hAnsi="宋体" w:cs="宋体" w:hint="eastAsia"/>
          <w:kern w:val="0"/>
          <w:sz w:val="24"/>
          <w:szCs w:val="24"/>
        </w:rPr>
        <w:t>服务为最终用户提供的技术服务。</w:t>
      </w:r>
    </w:p>
    <w:p w14:paraId="32AE54F6"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3、现场技术支持</w:t>
      </w:r>
    </w:p>
    <w:p w14:paraId="64FE2EEB" w14:textId="77777777" w:rsidR="00CF3FBD" w:rsidRDefault="00776AFB">
      <w:pPr>
        <w:spacing w:line="480" w:lineRule="auto"/>
        <w:ind w:leftChars="266" w:left="559" w:firstLineChars="225" w:firstLine="540"/>
        <w:rPr>
          <w:rFonts w:ascii="宋体" w:hAnsi="宋体" w:cs="宋体"/>
          <w:kern w:val="0"/>
          <w:sz w:val="24"/>
          <w:szCs w:val="24"/>
        </w:rPr>
      </w:pPr>
      <w:r>
        <w:rPr>
          <w:rFonts w:ascii="宋体" w:hAnsi="宋体" w:cs="宋体" w:hint="eastAsia"/>
          <w:kern w:val="0"/>
          <w:sz w:val="24"/>
          <w:szCs w:val="24"/>
        </w:rPr>
        <w:t>现场技术支持服务是指中标单位技术工程师为最终用户提供排除故障、更改配置、调整网络结构、软件版本升级、安全值守、售后培</w:t>
      </w:r>
      <w:proofErr w:type="gramStart"/>
      <w:r>
        <w:rPr>
          <w:rFonts w:ascii="宋体" w:hAnsi="宋体" w:cs="宋体" w:hint="eastAsia"/>
          <w:kern w:val="0"/>
          <w:sz w:val="24"/>
          <w:szCs w:val="24"/>
        </w:rPr>
        <w:t>圳</w:t>
      </w:r>
      <w:proofErr w:type="gramEnd"/>
      <w:r>
        <w:rPr>
          <w:rFonts w:ascii="宋体" w:hAnsi="宋体" w:cs="宋体" w:hint="eastAsia"/>
          <w:kern w:val="0"/>
          <w:sz w:val="24"/>
          <w:szCs w:val="24"/>
        </w:rPr>
        <w:t>等技术支持服务。最终用户提出技术服务请求，中标单位技术工程师通过电话、网络等</w:t>
      </w:r>
      <w:proofErr w:type="gramStart"/>
      <w:r>
        <w:rPr>
          <w:rFonts w:ascii="宋体" w:hAnsi="宋体" w:cs="宋体" w:hint="eastAsia"/>
          <w:kern w:val="0"/>
          <w:sz w:val="24"/>
          <w:szCs w:val="24"/>
        </w:rPr>
        <w:t>远程支持</w:t>
      </w:r>
      <w:proofErr w:type="gramEnd"/>
      <w:r>
        <w:rPr>
          <w:rFonts w:ascii="宋体" w:hAnsi="宋体" w:cs="宋体" w:hint="eastAsia"/>
          <w:kern w:val="0"/>
          <w:sz w:val="24"/>
          <w:szCs w:val="24"/>
        </w:rPr>
        <w:t>服务不能解决最终用户提供的技术服务请求时，中标单位技术工程师为最终用户提供现场技术支持的服务，原则上在半个小时内响应，两小时到现场，八小时解决问题。</w:t>
      </w:r>
      <w:bookmarkStart w:id="2" w:name="_Toc268009706"/>
      <w:bookmarkStart w:id="3" w:name="_Toc24184"/>
    </w:p>
    <w:p w14:paraId="065AC724"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4、电话回访服务</w:t>
      </w:r>
      <w:bookmarkEnd w:id="2"/>
      <w:bookmarkEnd w:id="3"/>
    </w:p>
    <w:p w14:paraId="6396546B" w14:textId="77777777" w:rsidR="00CF3FBD" w:rsidRDefault="00776AFB">
      <w:pPr>
        <w:spacing w:line="480" w:lineRule="auto"/>
        <w:ind w:leftChars="266" w:left="559" w:firstLineChars="225" w:firstLine="540"/>
        <w:rPr>
          <w:rFonts w:ascii="宋体" w:hAnsi="宋体" w:cs="宋体"/>
          <w:kern w:val="0"/>
          <w:sz w:val="24"/>
          <w:szCs w:val="24"/>
        </w:rPr>
      </w:pPr>
      <w:r>
        <w:rPr>
          <w:rFonts w:ascii="宋体" w:hAnsi="宋体" w:cs="宋体" w:hint="eastAsia"/>
          <w:kern w:val="0"/>
          <w:sz w:val="24"/>
          <w:szCs w:val="24"/>
        </w:rPr>
        <w:t>中标单位设有专职电话回访人员。电话回访人员每季度不少于 3 次通过电话向最终用户的设备维护、使用人员了解相关设备运行情况，并记录</w:t>
      </w:r>
      <w:r>
        <w:rPr>
          <w:rFonts w:ascii="宋体" w:hAnsi="宋体" w:cs="宋体" w:hint="eastAsia"/>
          <w:kern w:val="0"/>
          <w:sz w:val="24"/>
          <w:szCs w:val="24"/>
        </w:rPr>
        <w:lastRenderedPageBreak/>
        <w:t>贵单位维护、使用人员反映的问题或意见及时反馈给中标单位技术经理，以便能及时响应相关服务请求，解决有关问题。</w:t>
      </w:r>
    </w:p>
    <w:p w14:paraId="19316A62" w14:textId="77777777" w:rsidR="00CF3FBD" w:rsidRDefault="00776AFB">
      <w:pPr>
        <w:spacing w:line="480" w:lineRule="auto"/>
        <w:ind w:leftChars="266" w:left="559" w:firstLineChars="225" w:firstLine="540"/>
        <w:rPr>
          <w:rFonts w:ascii="宋体" w:hAnsi="宋体" w:cs="宋体"/>
          <w:kern w:val="0"/>
          <w:sz w:val="24"/>
          <w:szCs w:val="24"/>
        </w:rPr>
      </w:pPr>
      <w:r>
        <w:rPr>
          <w:rFonts w:ascii="宋体" w:hAnsi="宋体" w:cs="宋体" w:hint="eastAsia"/>
          <w:kern w:val="0"/>
          <w:sz w:val="24"/>
          <w:szCs w:val="24"/>
        </w:rPr>
        <w:t>中标单位建有完善的技术服务规范，严格要求所有相关服务的人员必须提供优质规范的服务，每次技术服务后，中标单位安排有专门人员对技术服务人员的服务质量等情况进行回访调查，通过对技术服务质量的监督和收集客户单位对我们服务的善意的意见和建议，以期确保和进一步提升为客户单位提供的服务质量。</w:t>
      </w:r>
    </w:p>
    <w:p w14:paraId="17CAFF74"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5、现场巡检服务</w:t>
      </w:r>
    </w:p>
    <w:p w14:paraId="61B6D46A" w14:textId="77777777" w:rsidR="00CF3FBD" w:rsidRDefault="00776AFB">
      <w:pPr>
        <w:spacing w:line="480" w:lineRule="auto"/>
        <w:ind w:leftChars="266" w:left="559" w:firstLineChars="225" w:firstLine="540"/>
        <w:rPr>
          <w:rFonts w:ascii="宋体" w:hAnsi="宋体" w:cs="宋体"/>
          <w:kern w:val="0"/>
          <w:sz w:val="24"/>
          <w:szCs w:val="24"/>
        </w:rPr>
      </w:pPr>
      <w:r>
        <w:rPr>
          <w:rFonts w:ascii="宋体" w:hAnsi="宋体" w:cs="宋体" w:hint="eastAsia"/>
          <w:kern w:val="0"/>
          <w:sz w:val="24"/>
          <w:szCs w:val="24"/>
        </w:rPr>
        <w:t>中标单位不定期指派技术工程师到达最终用户设备使用现场,对设备进行现场巡检，了解最终用户单位的设备运行状况，及时发现问题、解决问题，并为最终用户提供此次现场巡检的巡检报告。同时，还可据最终用户的需要，采用先进的网络检测与分析工具对系统进行诊断, 提出系统优化建议与措施。</w:t>
      </w:r>
    </w:p>
    <w:p w14:paraId="3DFFC717" w14:textId="77777777" w:rsidR="00CF3FBD" w:rsidRDefault="00776AFB">
      <w:pPr>
        <w:spacing w:line="480" w:lineRule="auto"/>
        <w:rPr>
          <w:rFonts w:ascii="宋体" w:hAnsi="宋体" w:cs="宋体"/>
          <w:b/>
          <w:bCs/>
          <w:kern w:val="0"/>
          <w:sz w:val="24"/>
          <w:szCs w:val="24"/>
        </w:rPr>
      </w:pPr>
      <w:r>
        <w:rPr>
          <w:rFonts w:ascii="宋体" w:hAnsi="宋体" w:cs="宋体" w:hint="eastAsia"/>
          <w:b/>
          <w:bCs/>
          <w:kern w:val="0"/>
          <w:sz w:val="24"/>
          <w:szCs w:val="24"/>
        </w:rPr>
        <w:t>三、投标单位要求</w:t>
      </w:r>
    </w:p>
    <w:p w14:paraId="18859C5E"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1.具有独立法人资格，提供有效的营业执照或事业单位法人证书；</w:t>
      </w:r>
    </w:p>
    <w:p w14:paraId="58CC81E9"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2.投标公司技术人员需具备本项目相关维保设备的高级认证；</w:t>
      </w:r>
    </w:p>
    <w:p w14:paraId="38A0B797"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3.自2018年1月1日以来具有信息设备维保服务业绩；</w:t>
      </w:r>
    </w:p>
    <w:p w14:paraId="08AFDD92"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4.具备本项目相关设备金牌代理资质和相关设备的认证服务能力；</w:t>
      </w:r>
    </w:p>
    <w:p w14:paraId="5DD3E8FA" w14:textId="77777777"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5.本项目不接受联合体报价。</w:t>
      </w:r>
    </w:p>
    <w:p w14:paraId="259DAED7" w14:textId="77777777" w:rsidR="00CF3FBD" w:rsidRDefault="00776AFB">
      <w:pPr>
        <w:spacing w:line="480" w:lineRule="auto"/>
        <w:rPr>
          <w:rFonts w:ascii="宋体" w:hAnsi="宋体" w:cs="宋体"/>
          <w:b/>
          <w:bCs/>
          <w:kern w:val="0"/>
          <w:sz w:val="24"/>
          <w:szCs w:val="24"/>
        </w:rPr>
      </w:pPr>
      <w:r>
        <w:rPr>
          <w:rFonts w:ascii="宋体" w:hAnsi="宋体" w:cs="宋体" w:hint="eastAsia"/>
          <w:b/>
          <w:bCs/>
          <w:kern w:val="0"/>
          <w:sz w:val="24"/>
          <w:szCs w:val="24"/>
        </w:rPr>
        <w:t>四、针对上述维保服务项目须提供详细具体的维保实施方案及应急处理方案</w:t>
      </w:r>
    </w:p>
    <w:sectPr w:rsidR="00CF3FBD" w:rsidSect="006239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EAA3" w14:textId="77777777" w:rsidR="002C3ABB" w:rsidRDefault="002C3ABB" w:rsidP="00DE4881">
      <w:r>
        <w:separator/>
      </w:r>
    </w:p>
  </w:endnote>
  <w:endnote w:type="continuationSeparator" w:id="0">
    <w:p w14:paraId="7E3974FC" w14:textId="77777777" w:rsidR="002C3ABB" w:rsidRDefault="002C3ABB" w:rsidP="00DE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53454"/>
      <w:docPartObj>
        <w:docPartGallery w:val="Page Numbers (Bottom of Page)"/>
        <w:docPartUnique/>
      </w:docPartObj>
    </w:sdtPr>
    <w:sdtEndPr>
      <w:rPr>
        <w:sz w:val="24"/>
        <w:szCs w:val="24"/>
      </w:rPr>
    </w:sdtEndPr>
    <w:sdtContent>
      <w:p w14:paraId="43DDA3EB" w14:textId="77777777" w:rsidR="00DE4881" w:rsidRPr="00DE4881" w:rsidRDefault="00DE4881">
        <w:pPr>
          <w:pStyle w:val="a7"/>
          <w:jc w:val="center"/>
          <w:rPr>
            <w:sz w:val="24"/>
            <w:szCs w:val="24"/>
          </w:rPr>
        </w:pPr>
        <w:r w:rsidRPr="00DE4881">
          <w:rPr>
            <w:sz w:val="24"/>
            <w:szCs w:val="24"/>
          </w:rPr>
          <w:fldChar w:fldCharType="begin"/>
        </w:r>
        <w:r w:rsidRPr="00DE4881">
          <w:rPr>
            <w:sz w:val="24"/>
            <w:szCs w:val="24"/>
          </w:rPr>
          <w:instrText xml:space="preserve"> PAGE   \* MERGEFORMAT </w:instrText>
        </w:r>
        <w:r w:rsidRPr="00DE4881">
          <w:rPr>
            <w:sz w:val="24"/>
            <w:szCs w:val="24"/>
          </w:rPr>
          <w:fldChar w:fldCharType="separate"/>
        </w:r>
        <w:r w:rsidR="009910D0" w:rsidRPr="009910D0">
          <w:rPr>
            <w:noProof/>
            <w:sz w:val="24"/>
            <w:szCs w:val="24"/>
            <w:lang w:val="zh-CN"/>
          </w:rPr>
          <w:t>4</w:t>
        </w:r>
        <w:r w:rsidRPr="00DE4881">
          <w:rPr>
            <w:sz w:val="24"/>
            <w:szCs w:val="24"/>
          </w:rPr>
          <w:fldChar w:fldCharType="end"/>
        </w:r>
      </w:p>
    </w:sdtContent>
  </w:sdt>
  <w:p w14:paraId="28E63CF9" w14:textId="77777777" w:rsidR="00DE4881" w:rsidRDefault="00DE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5319" w14:textId="77777777" w:rsidR="002C3ABB" w:rsidRDefault="002C3ABB" w:rsidP="00DE4881">
      <w:r>
        <w:separator/>
      </w:r>
    </w:p>
  </w:footnote>
  <w:footnote w:type="continuationSeparator" w:id="0">
    <w:p w14:paraId="4BF51E5C" w14:textId="77777777" w:rsidR="002C3ABB" w:rsidRDefault="002C3ABB" w:rsidP="00DE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B"/>
    <w:lvl w:ilvl="0">
      <w:start w:val="1"/>
      <w:numFmt w:val="chineseCountingThousand"/>
      <w:lvlText w:val="%1、"/>
      <w:lvlJc w:val="left"/>
      <w:pPr>
        <w:tabs>
          <w:tab w:val="left" w:pos="720"/>
        </w:tabs>
        <w:ind w:left="0" w:firstLine="0"/>
      </w:pPr>
      <w:rPr>
        <w:rFonts w:hint="eastAsia"/>
      </w:rPr>
    </w:lvl>
    <w:lvl w:ilvl="1">
      <w:start w:val="1"/>
      <w:numFmt w:val="decimal"/>
      <w:pStyle w:val="2"/>
      <w:lvlText w:val="%2."/>
      <w:lvlJc w:val="left"/>
      <w:pPr>
        <w:tabs>
          <w:tab w:val="left" w:pos="1211"/>
        </w:tabs>
        <w:ind w:left="851" w:firstLine="0"/>
      </w:pPr>
      <w:rPr>
        <w:rFonts w:hint="eastAsia"/>
      </w:rPr>
    </w:lvl>
    <w:lvl w:ilvl="2">
      <w:start w:val="1"/>
      <w:numFmt w:val="decimal"/>
      <w:lvlText w:val="%2.%3"/>
      <w:lvlJc w:val="left"/>
      <w:pPr>
        <w:tabs>
          <w:tab w:val="left" w:pos="1381"/>
        </w:tabs>
        <w:ind w:left="1021" w:firstLine="0"/>
      </w:pPr>
      <w:rPr>
        <w:rFonts w:hint="eastAsia"/>
      </w:rPr>
    </w:lvl>
    <w:lvl w:ilvl="3">
      <w:start w:val="1"/>
      <w:numFmt w:val="decimal"/>
      <w:lvlText w:val="%2.%3.%4"/>
      <w:lvlJc w:val="left"/>
      <w:pPr>
        <w:tabs>
          <w:tab w:val="left" w:pos="1080"/>
        </w:tabs>
        <w:ind w:left="360" w:firstLine="0"/>
      </w:pPr>
      <w:rPr>
        <w:rFonts w:hint="eastAsia"/>
      </w:rPr>
    </w:lvl>
    <w:lvl w:ilvl="4">
      <w:start w:val="1"/>
      <w:numFmt w:val="decimal"/>
      <w:lvlText w:val="%2.%3.%4.%5"/>
      <w:lvlJc w:val="left"/>
      <w:pPr>
        <w:tabs>
          <w:tab w:val="left" w:pos="2101"/>
        </w:tabs>
        <w:ind w:left="1021" w:firstLine="0"/>
      </w:pPr>
      <w:rPr>
        <w:rFonts w:hint="eastAsia"/>
      </w:rPr>
    </w:lvl>
    <w:lvl w:ilvl="5">
      <w:start w:val="1"/>
      <w:numFmt w:val="decimal"/>
      <w:lvlText w:val="%2.%3.%4.%5.%6"/>
      <w:lvlJc w:val="left"/>
      <w:pPr>
        <w:tabs>
          <w:tab w:val="left" w:pos="1080"/>
        </w:tabs>
        <w:ind w:left="0" w:firstLine="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45E1"/>
    <w:rsid w:val="0000410C"/>
    <w:rsid w:val="000518BA"/>
    <w:rsid w:val="000A1E6F"/>
    <w:rsid w:val="000C60C3"/>
    <w:rsid w:val="000D3085"/>
    <w:rsid w:val="001113F9"/>
    <w:rsid w:val="001166A5"/>
    <w:rsid w:val="00116C7E"/>
    <w:rsid w:val="00135BA3"/>
    <w:rsid w:val="0014618A"/>
    <w:rsid w:val="00153A14"/>
    <w:rsid w:val="00172DA1"/>
    <w:rsid w:val="0017434D"/>
    <w:rsid w:val="001755A9"/>
    <w:rsid w:val="00177BF6"/>
    <w:rsid w:val="00182420"/>
    <w:rsid w:val="00213E0E"/>
    <w:rsid w:val="002C187F"/>
    <w:rsid w:val="002C3ABB"/>
    <w:rsid w:val="002C54C5"/>
    <w:rsid w:val="002C6291"/>
    <w:rsid w:val="002D23B0"/>
    <w:rsid w:val="003A4E7B"/>
    <w:rsid w:val="003B74ED"/>
    <w:rsid w:val="003D7988"/>
    <w:rsid w:val="00407B41"/>
    <w:rsid w:val="00411699"/>
    <w:rsid w:val="00416A2E"/>
    <w:rsid w:val="004266B6"/>
    <w:rsid w:val="00451C31"/>
    <w:rsid w:val="00460787"/>
    <w:rsid w:val="00463432"/>
    <w:rsid w:val="0047405E"/>
    <w:rsid w:val="0047418C"/>
    <w:rsid w:val="00480C40"/>
    <w:rsid w:val="004C5E8B"/>
    <w:rsid w:val="004C7D16"/>
    <w:rsid w:val="004E3756"/>
    <w:rsid w:val="00516AE6"/>
    <w:rsid w:val="00526043"/>
    <w:rsid w:val="0055409D"/>
    <w:rsid w:val="00565240"/>
    <w:rsid w:val="005974F1"/>
    <w:rsid w:val="00597944"/>
    <w:rsid w:val="005A4458"/>
    <w:rsid w:val="005A647A"/>
    <w:rsid w:val="005E336F"/>
    <w:rsid w:val="00621477"/>
    <w:rsid w:val="006239CC"/>
    <w:rsid w:val="00694C51"/>
    <w:rsid w:val="006B0B71"/>
    <w:rsid w:val="0070589C"/>
    <w:rsid w:val="0071124C"/>
    <w:rsid w:val="007218DF"/>
    <w:rsid w:val="00722C8D"/>
    <w:rsid w:val="00723312"/>
    <w:rsid w:val="0073379D"/>
    <w:rsid w:val="00744579"/>
    <w:rsid w:val="00776AFB"/>
    <w:rsid w:val="00777C36"/>
    <w:rsid w:val="007D0C7C"/>
    <w:rsid w:val="007D7EC4"/>
    <w:rsid w:val="007E06F5"/>
    <w:rsid w:val="007E092C"/>
    <w:rsid w:val="0080133D"/>
    <w:rsid w:val="00815CF7"/>
    <w:rsid w:val="00825C74"/>
    <w:rsid w:val="008A4921"/>
    <w:rsid w:val="008A7D13"/>
    <w:rsid w:val="008E68ED"/>
    <w:rsid w:val="008E6AEB"/>
    <w:rsid w:val="00924DC3"/>
    <w:rsid w:val="00924FE7"/>
    <w:rsid w:val="0094471D"/>
    <w:rsid w:val="00952D74"/>
    <w:rsid w:val="0096620B"/>
    <w:rsid w:val="00976650"/>
    <w:rsid w:val="009910D0"/>
    <w:rsid w:val="0099614A"/>
    <w:rsid w:val="00996F25"/>
    <w:rsid w:val="009A2C1F"/>
    <w:rsid w:val="009B7F6E"/>
    <w:rsid w:val="009C42F4"/>
    <w:rsid w:val="00A352D4"/>
    <w:rsid w:val="00A56850"/>
    <w:rsid w:val="00A92851"/>
    <w:rsid w:val="00AA2DD6"/>
    <w:rsid w:val="00AE01B0"/>
    <w:rsid w:val="00AF28E9"/>
    <w:rsid w:val="00B1116E"/>
    <w:rsid w:val="00B1707F"/>
    <w:rsid w:val="00B21A06"/>
    <w:rsid w:val="00B717F2"/>
    <w:rsid w:val="00B71B0E"/>
    <w:rsid w:val="00B860C9"/>
    <w:rsid w:val="00B918D8"/>
    <w:rsid w:val="00B9368D"/>
    <w:rsid w:val="00BA56CD"/>
    <w:rsid w:val="00BB6DAD"/>
    <w:rsid w:val="00C00C58"/>
    <w:rsid w:val="00C1367B"/>
    <w:rsid w:val="00C2641C"/>
    <w:rsid w:val="00C32FA3"/>
    <w:rsid w:val="00C64705"/>
    <w:rsid w:val="00CA5F80"/>
    <w:rsid w:val="00CC3AB0"/>
    <w:rsid w:val="00CE4F09"/>
    <w:rsid w:val="00CF3FBD"/>
    <w:rsid w:val="00D118CA"/>
    <w:rsid w:val="00D2627B"/>
    <w:rsid w:val="00D27256"/>
    <w:rsid w:val="00D37ECE"/>
    <w:rsid w:val="00D545E1"/>
    <w:rsid w:val="00D84978"/>
    <w:rsid w:val="00D93CB5"/>
    <w:rsid w:val="00DA3501"/>
    <w:rsid w:val="00DB09CC"/>
    <w:rsid w:val="00DE4881"/>
    <w:rsid w:val="00E019DE"/>
    <w:rsid w:val="00E154F1"/>
    <w:rsid w:val="00E42E4F"/>
    <w:rsid w:val="00E465F2"/>
    <w:rsid w:val="00E5146D"/>
    <w:rsid w:val="00E62F89"/>
    <w:rsid w:val="00F03BFD"/>
    <w:rsid w:val="00F2490B"/>
    <w:rsid w:val="00F47F81"/>
    <w:rsid w:val="00FA2E96"/>
    <w:rsid w:val="00FA778F"/>
    <w:rsid w:val="00FB1018"/>
    <w:rsid w:val="00FE045A"/>
    <w:rsid w:val="00FE7104"/>
    <w:rsid w:val="1A4573D0"/>
    <w:rsid w:val="4975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4CB6E"/>
  <w15:docId w15:val="{44185B57-D048-4B2C-AEB8-CFA076FC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9CC"/>
    <w:pPr>
      <w:widowControl w:val="0"/>
      <w:jc w:val="both"/>
    </w:pPr>
    <w:rPr>
      <w:kern w:val="2"/>
      <w:sz w:val="21"/>
      <w:szCs w:val="21"/>
    </w:rPr>
  </w:style>
  <w:style w:type="paragraph" w:styleId="2">
    <w:name w:val="heading 2"/>
    <w:basedOn w:val="a"/>
    <w:next w:val="a"/>
    <w:link w:val="20"/>
    <w:qFormat/>
    <w:locked/>
    <w:rsid w:val="006239CC"/>
    <w:pPr>
      <w:keepNext/>
      <w:keepLines/>
      <w:numPr>
        <w:ilvl w:val="1"/>
        <w:numId w:val="1"/>
      </w:numPr>
      <w:tabs>
        <w:tab w:val="clear" w:pos="1211"/>
        <w:tab w:val="left" w:pos="0"/>
        <w:tab w:val="left" w:pos="1381"/>
      </w:tabs>
      <w:spacing w:before="120" w:after="120"/>
      <w:ind w:left="1021"/>
      <w:outlineLvl w:val="1"/>
    </w:pPr>
    <w:rPr>
      <w:rFonts w:ascii="Arial" w:eastAsia="微软雅黑" w:hAnsi="Arial"/>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239CC"/>
    <w:pPr>
      <w:shd w:val="clear" w:color="auto" w:fill="000080"/>
    </w:pPr>
    <w:rPr>
      <w:kern w:val="0"/>
      <w:sz w:val="2"/>
      <w:szCs w:val="2"/>
      <w:lang w:val="zh-CN"/>
    </w:rPr>
  </w:style>
  <w:style w:type="paragraph" w:styleId="a5">
    <w:name w:val="Balloon Text"/>
    <w:basedOn w:val="a"/>
    <w:link w:val="a6"/>
    <w:uiPriority w:val="99"/>
    <w:semiHidden/>
    <w:unhideWhenUsed/>
    <w:rsid w:val="006239CC"/>
    <w:rPr>
      <w:sz w:val="18"/>
      <w:szCs w:val="18"/>
    </w:rPr>
  </w:style>
  <w:style w:type="paragraph" w:styleId="a7">
    <w:name w:val="footer"/>
    <w:basedOn w:val="a"/>
    <w:link w:val="a8"/>
    <w:uiPriority w:val="99"/>
    <w:unhideWhenUsed/>
    <w:rsid w:val="006239CC"/>
    <w:pPr>
      <w:tabs>
        <w:tab w:val="center" w:pos="4153"/>
        <w:tab w:val="right" w:pos="8306"/>
      </w:tabs>
      <w:snapToGrid w:val="0"/>
      <w:jc w:val="left"/>
    </w:pPr>
    <w:rPr>
      <w:sz w:val="18"/>
      <w:szCs w:val="18"/>
    </w:rPr>
  </w:style>
  <w:style w:type="paragraph" w:styleId="a9">
    <w:name w:val="header"/>
    <w:basedOn w:val="a"/>
    <w:link w:val="aa"/>
    <w:uiPriority w:val="99"/>
    <w:unhideWhenUsed/>
    <w:rsid w:val="006239CC"/>
    <w:pPr>
      <w:pBdr>
        <w:bottom w:val="single" w:sz="6" w:space="1" w:color="auto"/>
      </w:pBdr>
      <w:tabs>
        <w:tab w:val="center" w:pos="4153"/>
        <w:tab w:val="right" w:pos="8306"/>
      </w:tabs>
      <w:snapToGrid w:val="0"/>
      <w:jc w:val="center"/>
    </w:pPr>
    <w:rPr>
      <w:sz w:val="18"/>
      <w:szCs w:val="18"/>
    </w:rPr>
  </w:style>
  <w:style w:type="table" w:styleId="ab">
    <w:name w:val="Table Grid"/>
    <w:basedOn w:val="a1"/>
    <w:locked/>
    <w:rsid w:val="0062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uiPriority w:val="99"/>
    <w:semiHidden/>
    <w:locked/>
    <w:rsid w:val="006239CC"/>
    <w:rPr>
      <w:sz w:val="2"/>
      <w:szCs w:val="2"/>
    </w:rPr>
  </w:style>
  <w:style w:type="character" w:customStyle="1" w:styleId="aa">
    <w:name w:val="页眉 字符"/>
    <w:link w:val="a9"/>
    <w:uiPriority w:val="99"/>
    <w:rsid w:val="006239CC"/>
    <w:rPr>
      <w:kern w:val="2"/>
      <w:sz w:val="18"/>
      <w:szCs w:val="18"/>
    </w:rPr>
  </w:style>
  <w:style w:type="character" w:customStyle="1" w:styleId="a8">
    <w:name w:val="页脚 字符"/>
    <w:link w:val="a7"/>
    <w:uiPriority w:val="99"/>
    <w:rsid w:val="006239CC"/>
    <w:rPr>
      <w:kern w:val="2"/>
      <w:sz w:val="18"/>
      <w:szCs w:val="18"/>
    </w:rPr>
  </w:style>
  <w:style w:type="character" w:customStyle="1" w:styleId="a6">
    <w:name w:val="批注框文本 字符"/>
    <w:basedOn w:val="a0"/>
    <w:link w:val="a5"/>
    <w:uiPriority w:val="99"/>
    <w:semiHidden/>
    <w:rsid w:val="006239CC"/>
    <w:rPr>
      <w:kern w:val="2"/>
      <w:sz w:val="18"/>
      <w:szCs w:val="18"/>
    </w:rPr>
  </w:style>
  <w:style w:type="character" w:customStyle="1" w:styleId="2Char">
    <w:name w:val="标题 2 Char"/>
    <w:basedOn w:val="a0"/>
    <w:semiHidden/>
    <w:rsid w:val="006239CC"/>
    <w:rPr>
      <w:rFonts w:asciiTheme="majorHAnsi" w:eastAsiaTheme="majorEastAsia" w:hAnsiTheme="majorHAnsi" w:cstheme="majorBidi"/>
      <w:b/>
      <w:bCs/>
      <w:kern w:val="2"/>
      <w:sz w:val="32"/>
      <w:szCs w:val="32"/>
    </w:rPr>
  </w:style>
  <w:style w:type="character" w:customStyle="1" w:styleId="20">
    <w:name w:val="标题 2 字符"/>
    <w:link w:val="2"/>
    <w:rsid w:val="006239CC"/>
    <w:rPr>
      <w:rFonts w:ascii="Arial" w:eastAsia="微软雅黑" w:hAnsi="Arial"/>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463</Words>
  <Characters>2643</Characters>
  <Application>Microsoft Office Word</Application>
  <DocSecurity>0</DocSecurity>
  <Lines>22</Lines>
  <Paragraphs>6</Paragraphs>
  <ScaleCrop>false</ScaleCrop>
  <Company>落雪梨花</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芜湖市第四人民医院弱电年维护项目内容</dc:title>
  <dc:creator>系统管理员</dc:creator>
  <cp:lastModifiedBy>LCY</cp:lastModifiedBy>
  <cp:revision>10</cp:revision>
  <cp:lastPrinted>2017-03-02T06:39:00Z</cp:lastPrinted>
  <dcterms:created xsi:type="dcterms:W3CDTF">2021-05-13T06:10:00Z</dcterms:created>
  <dcterms:modified xsi:type="dcterms:W3CDTF">2021-06-10T01:31:00Z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